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40" w:after="40"/>
        <w:contextualSpacing/>
        <w:jc w:val="center"/>
        <w:rPr>
          <w:rFonts w:ascii="Calibri" w:hAnsi="Calibri" w:cs="Calibri"/>
          <w:sz w:val="32"/>
          <w:szCs w:val="32"/>
        </w:rPr>
      </w:pPr>
      <w:r>
        <w:rPr>
          <w:rFonts w:cs="Calibri"/>
          <w:b/>
          <w:color w:val="000000"/>
          <w:sz w:val="32"/>
          <w:szCs w:val="32"/>
        </w:rPr>
        <w:t>TÉRMINOS DE REFERENCIA</w:t>
      </w:r>
    </w:p>
    <w:p>
      <w:pPr>
        <w:pStyle w:val="Normal"/>
        <w:spacing w:before="0" w:after="160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b/>
          <w:color w:val="2D0B45"/>
          <w:sz w:val="32"/>
          <w:szCs w:val="32"/>
        </w:rPr>
        <w:t>Servicios técnicos de Auxiliar Contable y de Rendición Financiera</w:t>
      </w:r>
    </w:p>
    <w:tbl>
      <w:tblPr>
        <w:tblW w:w="9994" w:type="dxa"/>
        <w:jc w:val="center"/>
        <w:tblInd w:w="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noVBand="1" w:noHBand="0" w:lastColumn="0" w:firstColumn="1" w:lastRow="0" w:firstRow="1"/>
      </w:tblPr>
      <w:tblGrid>
        <w:gridCol w:w="3677"/>
        <w:gridCol w:w="6316"/>
      </w:tblGrid>
      <w:tr>
        <w:trPr/>
        <w:tc>
          <w:tcPr>
            <w:tcW w:w="36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b/>
                <w:color w:val="000000"/>
                <w:sz w:val="22"/>
              </w:rPr>
              <w:t>Entidad contratante</w:t>
            </w:r>
          </w:p>
        </w:tc>
        <w:tc>
          <w:tcPr>
            <w:tcW w:w="63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color w:val="000000"/>
                <w:sz w:val="22"/>
              </w:rPr>
              <w:t>Asociación Civil Caja Lúdica</w:t>
            </w:r>
          </w:p>
        </w:tc>
      </w:tr>
      <w:tr>
        <w:trPr/>
        <w:tc>
          <w:tcPr>
            <w:tcW w:w="36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b/>
                <w:color w:val="000000"/>
                <w:sz w:val="22"/>
              </w:rPr>
              <w:t>Denominación</w:t>
            </w:r>
          </w:p>
        </w:tc>
        <w:tc>
          <w:tcPr>
            <w:tcW w:w="63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color w:val="000000"/>
                <w:sz w:val="22"/>
              </w:rPr>
              <w:t>Servicios técnicos de Auxiliar Contable y de Rendición Financiera</w:t>
            </w:r>
          </w:p>
        </w:tc>
      </w:tr>
      <w:tr>
        <w:trPr/>
        <w:tc>
          <w:tcPr>
            <w:tcW w:w="36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b/>
                <w:color w:val="000000"/>
                <w:sz w:val="22"/>
              </w:rPr>
              <w:t>Ámbito</w:t>
            </w:r>
          </w:p>
        </w:tc>
        <w:tc>
          <w:tcPr>
            <w:tcW w:w="63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color w:val="000000"/>
                <w:sz w:val="22"/>
              </w:rPr>
              <w:t>Ejecución contable, presupuestaria y rendición financiera del convenio con el Ministerio de Cultura y Deportes</w:t>
            </w:r>
          </w:p>
        </w:tc>
      </w:tr>
      <w:tr>
        <w:trPr/>
        <w:tc>
          <w:tcPr>
            <w:tcW w:w="36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b/>
                <w:color w:val="000000"/>
                <w:sz w:val="22"/>
              </w:rPr>
              <w:t>Plazo</w:t>
            </w:r>
          </w:p>
        </w:tc>
        <w:tc>
          <w:tcPr>
            <w:tcW w:w="63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color w:val="000000"/>
                <w:sz w:val="22"/>
              </w:rPr>
              <w:t>Dos (2) meses</w:t>
            </w:r>
          </w:p>
        </w:tc>
      </w:tr>
      <w:tr>
        <w:trPr/>
        <w:tc>
          <w:tcPr>
            <w:tcW w:w="36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b/>
                <w:color w:val="000000"/>
                <w:sz w:val="22"/>
              </w:rPr>
              <w:t>Lugar de prestación</w:t>
            </w:r>
          </w:p>
        </w:tc>
        <w:tc>
          <w:tcPr>
            <w:tcW w:w="63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color w:val="000000"/>
                <w:sz w:val="22"/>
              </w:rPr>
              <w:t>Sede de Caja Lúdica, ciudad de Guatemala, con las coordinaciones y gestiones presenciales que requiera el servicio.</w:t>
            </w:r>
          </w:p>
        </w:tc>
      </w:tr>
    </w:tbl>
    <w:p>
      <w:pPr>
        <w:pStyle w:val="Heading1"/>
        <w:numPr>
          <w:ilvl w:val="0"/>
          <w:numId w:val="2"/>
        </w:numPr>
        <w:rPr>
          <w:rFonts w:ascii="Calibri" w:hAnsi="Calibri" w:cs="Calibri"/>
          <w:color w:val="1F497D" w:themeColor="text2"/>
          <w:sz w:val="24"/>
          <w:szCs w:val="24"/>
        </w:rPr>
      </w:pPr>
      <w:r>
        <w:rPr>
          <w:rFonts w:cs="Calibri"/>
          <w:color w:val="1F497D" w:themeColor="text2"/>
          <w:sz w:val="24"/>
          <w:szCs w:val="24"/>
        </w:rPr>
        <w:t>Antecedentes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Caja Lúdica administra recursos públicos destinados a procesos culturales, artísticos, formativos y comunitarios. Su utilización genera operaciones y documentos que deben registrarse oportunamente y conservarse de forma ordenada para sustentar la ejecución presupuestaria, la rendición de cuentas y la fiscalización.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 xml:space="preserve">El período de ejecución requiere una persona responsable de la operación contable y financiera cotidiana, cuyos registros y controles serán revisados y validados por el/la Contador/a </w:t>
      </w:r>
      <w:r>
        <w:rPr>
          <w:rFonts w:cs="Calibri" w:ascii="Calibri" w:hAnsi="Calibri"/>
          <w:color w:val="000000"/>
          <w:sz w:val="22"/>
        </w:rPr>
        <w:t>de Ejecuci</w:t>
      </w:r>
      <w:r>
        <w:rPr>
          <w:rFonts w:cs="Calibri" w:ascii="Calibri" w:hAnsi="Calibri"/>
          <w:color w:val="000000"/>
          <w:sz w:val="22"/>
          <w:lang w:val="es-GT"/>
        </w:rPr>
        <w:t>ó</w:t>
      </w:r>
      <w:r>
        <w:rPr>
          <w:rFonts w:cs="Calibri" w:ascii="Calibri" w:hAnsi="Calibri"/>
          <w:color w:val="000000"/>
          <w:sz w:val="22"/>
          <w:lang w:val="es-GT"/>
        </w:rPr>
        <w:t>n Financiera y Rendición de Cuentas</w:t>
      </w:r>
      <w:r>
        <w:rPr>
          <w:rFonts w:cs="Calibri" w:ascii="Calibri" w:hAnsi="Calibri"/>
          <w:color w:val="000000"/>
          <w:sz w:val="22"/>
        </w:rPr>
        <w:t>.</w:t>
      </w:r>
    </w:p>
    <w:p>
      <w:pPr>
        <w:pStyle w:val="Heading1"/>
        <w:numPr>
          <w:ilvl w:val="0"/>
          <w:numId w:val="2"/>
        </w:numPr>
        <w:rPr>
          <w:rFonts w:ascii="Calibri" w:hAnsi="Calibri" w:cs="Calibri"/>
          <w:color w:val="1F497D" w:themeColor="text2"/>
          <w:sz w:val="24"/>
          <w:szCs w:val="24"/>
        </w:rPr>
      </w:pPr>
      <w:r>
        <w:rPr>
          <w:rFonts w:cs="Calibri"/>
          <w:color w:val="1F497D" w:themeColor="text2"/>
          <w:sz w:val="24"/>
          <w:szCs w:val="24"/>
        </w:rPr>
        <w:t>Objeto y alcance de la contratación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Contratar servicios técnicos de Auxiliar Contable y de Rendición Financiera para ejecutar el registro, control y conciliación de las operaciones contables, bancarias y presupuestarias relacionadas con los recursos públicos administrados por Caja Lúdica.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 xml:space="preserve">El servicio abarca la operación contable diaria, las conciliaciones, la ejecución presupuestaria, la Caja Fiscal, el componente financiero del Sistema de Transferencias, Subsidios y Subvenciones —TSS—, las retenciones tributarias y la información para el cierre y liquidación. El/la Contador/a </w:t>
      </w:r>
      <w:r>
        <w:rPr>
          <w:rFonts w:cs="Calibri" w:ascii="Calibri" w:hAnsi="Calibri"/>
          <w:color w:val="000000"/>
          <w:sz w:val="22"/>
        </w:rPr>
        <w:t>de Ejecuci</w:t>
      </w:r>
      <w:r>
        <w:rPr>
          <w:rFonts w:cs="Calibri" w:ascii="Calibri" w:hAnsi="Calibri"/>
          <w:color w:val="000000"/>
          <w:sz w:val="22"/>
          <w:lang w:val="es-GT"/>
        </w:rPr>
        <w:t xml:space="preserve">ón Financiera y rendición de Cuentas </w:t>
      </w:r>
      <w:r>
        <w:rPr>
          <w:rFonts w:cs="Calibri" w:ascii="Calibri" w:hAnsi="Calibri"/>
          <w:color w:val="000000"/>
          <w:sz w:val="22"/>
        </w:rPr>
        <w:t>conservará la responsabilidad de revisión, validación y consolidación técnica.</w:t>
      </w:r>
    </w:p>
    <w:p>
      <w:pPr>
        <w:pStyle w:val="Heading1"/>
        <w:numPr>
          <w:ilvl w:val="0"/>
          <w:numId w:val="2"/>
        </w:numPr>
        <w:rPr>
          <w:rFonts w:ascii="Calibri" w:hAnsi="Calibri" w:cs="Calibri"/>
          <w:color w:val="1F497D" w:themeColor="text2"/>
          <w:sz w:val="24"/>
          <w:szCs w:val="24"/>
        </w:rPr>
      </w:pPr>
      <w:r>
        <w:rPr>
          <w:rFonts w:cs="Calibri"/>
          <w:color w:val="1F497D" w:themeColor="text2"/>
          <w:sz w:val="24"/>
          <w:szCs w:val="24"/>
        </w:rPr>
        <w:t>Responsabilidad central del puesto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b/>
          <w:color w:val="000000"/>
          <w:sz w:val="22"/>
        </w:rPr>
        <w:t>Mantener registrada, conciliada y actualizada la ejecución contable y financiera del convenio, y preparar la información y documentación requerida para la Caja Fiscal, el TSS, la rendición de cuentas y la liquidación financiera.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La persona recibirá, de quien tenga a su cargo las contrataciones y GUATECOMPRAS, los expedientes completos y autorizados para su verificación contable y tributaria, registro y control de pago. No gestionará procedimientos de contratación, no integrará los expedientes administrativos de adquisición ni operará GUATECOMPRAS.</w:t>
      </w:r>
    </w:p>
    <w:p>
      <w:pPr>
        <w:pStyle w:val="Heading1"/>
        <w:numPr>
          <w:ilvl w:val="0"/>
          <w:numId w:val="2"/>
        </w:numPr>
        <w:rPr>
          <w:rFonts w:ascii="Calibri" w:hAnsi="Calibri" w:cs="Calibri"/>
          <w:color w:val="1F497D" w:themeColor="text2"/>
          <w:sz w:val="24"/>
          <w:szCs w:val="24"/>
        </w:rPr>
      </w:pPr>
      <w:r>
        <w:rPr>
          <w:rFonts w:cs="Calibri"/>
          <w:color w:val="1F497D" w:themeColor="text2"/>
          <w:sz w:val="24"/>
          <w:szCs w:val="24"/>
        </w:rPr>
        <w:t>Responsabilidades principales</w:t>
      </w:r>
    </w:p>
    <w:p>
      <w:pPr>
        <w:pStyle w:val="ListParagraph"/>
        <w:numPr>
          <w:ilvl w:val="0"/>
          <w:numId w:val="3"/>
        </w:numPr>
        <w:spacing w:lineRule="auto" w:line="244" w:before="0" w:after="40"/>
        <w:contextualSpacing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Verificar contable y tributariamente los expedientes completos y autorizados que reciba para registro y pago; comprobar la factura, las retenciones y los demás requisitos aplicables, y documentar y comunicar cualquier faltante o inconsistencia.</w:t>
      </w:r>
    </w:p>
    <w:p>
      <w:pPr>
        <w:pStyle w:val="ListParagraph"/>
        <w:numPr>
          <w:ilvl w:val="0"/>
          <w:numId w:val="3"/>
        </w:numPr>
        <w:spacing w:lineRule="auto" w:line="244" w:before="0" w:after="40"/>
        <w:contextualSpacing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Registrar oportunamente los ingresos, egresos, anticipos, reintegros, intereses, retenciones, cuentas por pagar y demás operaciones del convenio, vinculando cada registro con su respaldo y manteniendo actualizados los auxiliares contables y bancarios y las integraciones de cuentas.</w:t>
      </w:r>
    </w:p>
    <w:p>
      <w:pPr>
        <w:pStyle w:val="ListParagraph"/>
        <w:numPr>
          <w:ilvl w:val="0"/>
          <w:numId w:val="3"/>
        </w:numPr>
        <w:spacing w:lineRule="auto" w:line="244" w:before="0" w:after="40"/>
        <w:contextualSpacing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Actualizar la ejecución presupuestaria por renglón, actividad y período; controlar los saldos disponibles, las obligaciones y los registros pendientes, e informar oportunamente cualquier variación o riesgo de sobreejecución.</w:t>
      </w:r>
    </w:p>
    <w:p>
      <w:pPr>
        <w:pStyle w:val="ListParagraph"/>
        <w:numPr>
          <w:ilvl w:val="0"/>
          <w:numId w:val="3"/>
        </w:numPr>
        <w:spacing w:lineRule="auto" w:line="244" w:before="0" w:after="40"/>
        <w:contextualSpacing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 xml:space="preserve">Elaborar las conciliaciones bancarias, contables y presupuestarias; documentar diferencias y partidas pendientes; preparar la relación de pagos y trasladarla con sus respaldos al/a la Contador/a </w:t>
      </w:r>
      <w:r>
        <w:rPr>
          <w:rFonts w:cs="Calibri" w:ascii="Calibri" w:hAnsi="Calibri"/>
          <w:color w:val="000000"/>
          <w:sz w:val="22"/>
        </w:rPr>
        <w:t>de Ejecuci</w:t>
      </w:r>
      <w:r>
        <w:rPr>
          <w:rFonts w:cs="Calibri" w:ascii="Calibri" w:hAnsi="Calibri"/>
          <w:color w:val="000000"/>
          <w:sz w:val="22"/>
          <w:lang w:val="es-GT"/>
        </w:rPr>
        <w:t>ón Financiera y Rendición de Cuentas</w:t>
      </w:r>
      <w:r>
        <w:rPr>
          <w:rFonts w:cs="Calibri" w:ascii="Calibri" w:hAnsi="Calibri"/>
          <w:color w:val="000000"/>
          <w:sz w:val="22"/>
        </w:rPr>
        <w:t xml:space="preserve"> , sin autorizar gastos, pagos o transferencias bancarias.</w:t>
      </w:r>
    </w:p>
    <w:p>
      <w:pPr>
        <w:pStyle w:val="ListParagraph"/>
        <w:numPr>
          <w:ilvl w:val="0"/>
          <w:numId w:val="3"/>
        </w:numPr>
        <w:spacing w:lineRule="auto" w:line="244" w:before="0" w:after="40"/>
        <w:contextualSpacing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Preparar las retenciones tributarias y sus constancias; elaborar mensualmente la Caja Fiscal y registrar el componente financiero en el TSS, conciliando la información con la contabilidad y conservando los respaldos y constancias correspondientes. La carga en plataformas procederá únicamente con designación y perfil institucional autorizado.</w:t>
      </w:r>
    </w:p>
    <w:p>
      <w:pPr>
        <w:pStyle w:val="ListParagraph"/>
        <w:numPr>
          <w:ilvl w:val="0"/>
          <w:numId w:val="3"/>
        </w:numPr>
        <w:spacing w:lineRule="auto" w:line="244" w:before="0" w:after="40"/>
        <w:contextualSpacing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Mantener ordenados e identificados los registros y respaldos contables y financieros; conservar evidencia de las correcciones; trasladar a la persona responsable de contrataciones la documentación financiera que deba incorporarse o publicarse en GUATECOMPRAS, e integrar la información de su competencia requerida durante auditorías o verificaciones.</w:t>
      </w:r>
    </w:p>
    <w:p>
      <w:pPr>
        <w:pStyle w:val="ListParagraph"/>
        <w:numPr>
          <w:ilvl w:val="0"/>
          <w:numId w:val="3"/>
        </w:numPr>
        <w:spacing w:lineRule="auto" w:line="244" w:before="0" w:after="40"/>
        <w:contextualSpacing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 xml:space="preserve">Integrar el cierre y la liquidación financiera, incluidos auxiliares, conciliaciones, ejecución presupuestaria, saldos, obligaciones, reintegros y asuntos pendientes; informar de inmediato al/a  Contador/a </w:t>
      </w:r>
      <w:r>
        <w:rPr>
          <w:rFonts w:cs="Calibri" w:ascii="Calibri" w:hAnsi="Calibri"/>
          <w:color w:val="000000"/>
          <w:sz w:val="22"/>
        </w:rPr>
        <w:t>de Ejecuci</w:t>
      </w:r>
      <w:r>
        <w:rPr>
          <w:rFonts w:cs="Calibri" w:ascii="Calibri" w:hAnsi="Calibri"/>
          <w:color w:val="000000"/>
          <w:sz w:val="22"/>
          <w:lang w:val="es-GT"/>
        </w:rPr>
        <w:t>ón Financiera y Rendición de Cuentas</w:t>
      </w:r>
      <w:r>
        <w:rPr>
          <w:rFonts w:cs="Calibri" w:ascii="Calibri" w:hAnsi="Calibri"/>
          <w:color w:val="000000"/>
          <w:sz w:val="22"/>
        </w:rPr>
        <w:t xml:space="preserve"> sobre operaciones sin respaldo, duplicidades, diferencias no resueltas u otras situaciones irregulares.</w:t>
      </w:r>
    </w:p>
    <w:p>
      <w:pPr>
        <w:pStyle w:val="Heading1"/>
        <w:numPr>
          <w:ilvl w:val="0"/>
          <w:numId w:val="2"/>
        </w:numPr>
        <w:rPr>
          <w:rFonts w:ascii="Calibri" w:hAnsi="Calibri" w:cs="Calibri"/>
          <w:color w:val="1F497D" w:themeColor="text2"/>
          <w:sz w:val="24"/>
          <w:szCs w:val="24"/>
        </w:rPr>
      </w:pPr>
      <w:r>
        <w:rPr>
          <w:rFonts w:cs="Calibri"/>
          <w:color w:val="1F497D" w:themeColor="text2"/>
          <w:sz w:val="24"/>
          <w:szCs w:val="24"/>
        </w:rPr>
        <w:t>Acreditación de los servicios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 w:themeColor="text1"/>
          <w:sz w:val="22"/>
        </w:rPr>
      </w:pPr>
      <w:r>
        <w:rPr>
          <w:rFonts w:cs="Calibri" w:ascii="Calibri" w:hAnsi="Calibri"/>
          <w:color w:val="000000" w:themeColor="text1"/>
          <w:sz w:val="22"/>
        </w:rPr>
        <w:t>El cumplimiento se verificará mediante los registros contables y financieros actualizados y sus respaldos. Para cada pago se requerirá:</w:t>
      </w:r>
    </w:p>
    <w:p>
      <w:pPr>
        <w:pStyle w:val="Normal"/>
        <w:spacing w:lineRule="auto" w:line="244" w:before="0" w:after="40"/>
        <w:ind w:left="360" w:hanging="288"/>
        <w:rPr>
          <w:rFonts w:ascii="Calibri" w:hAnsi="Calibri" w:cs="Calibri"/>
          <w:color w:val="000000" w:themeColor="text1"/>
          <w:sz w:val="22"/>
        </w:rPr>
      </w:pPr>
      <w:r>
        <w:rPr>
          <w:rFonts w:cs="Calibri" w:ascii="Calibri" w:hAnsi="Calibri"/>
          <w:b/>
          <w:color w:val="000000" w:themeColor="text1"/>
          <w:sz w:val="22"/>
        </w:rPr>
        <w:t xml:space="preserve">• </w:t>
      </w:r>
      <w:r>
        <w:rPr>
          <w:rFonts w:cs="Calibri" w:ascii="Calibri" w:hAnsi="Calibri"/>
          <w:color w:val="000000" w:themeColor="text1"/>
          <w:sz w:val="22"/>
        </w:rPr>
        <w:t>Factura correspondiente.</w:t>
      </w:r>
    </w:p>
    <w:p>
      <w:pPr>
        <w:pStyle w:val="Normal"/>
        <w:spacing w:lineRule="auto" w:line="244" w:before="0" w:after="40"/>
        <w:ind w:left="360" w:hanging="288"/>
        <w:rPr>
          <w:rFonts w:ascii="Calibri" w:hAnsi="Calibri" w:cs="Calibri"/>
          <w:color w:val="000000" w:themeColor="text1"/>
          <w:sz w:val="22"/>
        </w:rPr>
      </w:pPr>
      <w:r>
        <w:rPr>
          <w:rFonts w:cs="Calibri" w:ascii="Calibri" w:hAnsi="Calibri"/>
          <w:b/>
          <w:color w:val="000000" w:themeColor="text1"/>
          <w:sz w:val="22"/>
        </w:rPr>
        <w:t xml:space="preserve">• </w:t>
      </w:r>
      <w:r>
        <w:rPr>
          <w:rFonts w:cs="Calibri" w:ascii="Calibri" w:hAnsi="Calibri"/>
          <w:color w:val="000000" w:themeColor="text1"/>
          <w:sz w:val="22"/>
        </w:rPr>
        <w:t>Documentación de respaldo o índice que permita identificar su ubicación física o digital.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 w:themeColor="text1"/>
          <w:sz w:val="22"/>
        </w:rPr>
      </w:pPr>
      <w:r>
        <w:rPr>
          <w:rFonts w:cs="Calibri" w:ascii="Calibri" w:hAnsi="Calibri"/>
          <w:color w:val="000000" w:themeColor="text1"/>
          <w:sz w:val="22"/>
        </w:rPr>
        <w:t>Al finalizar el servicio, deberá entregar los registros actualizados, el estado de la liquidación financiera, los asuntos pendientes y los archivos y accesos institucionales bajo su responsabilidad.</w:t>
      </w:r>
    </w:p>
    <w:p>
      <w:pPr>
        <w:pStyle w:val="Heading1"/>
        <w:numPr>
          <w:ilvl w:val="0"/>
          <w:numId w:val="2"/>
        </w:numPr>
        <w:rPr>
          <w:rFonts w:ascii="Calibri" w:hAnsi="Calibri" w:cs="Calibri"/>
          <w:color w:val="1F497D" w:themeColor="text2"/>
          <w:sz w:val="24"/>
          <w:szCs w:val="24"/>
        </w:rPr>
      </w:pPr>
      <w:r>
        <w:rPr>
          <w:rFonts w:cs="Calibri"/>
          <w:color w:val="1F497D" w:themeColor="text2"/>
          <w:sz w:val="24"/>
          <w:szCs w:val="24"/>
        </w:rPr>
        <w:t>Perfil requerido</w:t>
      </w:r>
    </w:p>
    <w:tbl>
      <w:tblPr>
        <w:tblW w:w="9994" w:type="dxa"/>
        <w:jc w:val="center"/>
        <w:tblInd w:w="0" w:type="dxa"/>
        <w:tblLayout w:type="fixed"/>
        <w:tblCellMar>
          <w:top w:w="85" w:type="dxa"/>
          <w:left w:w="100" w:type="dxa"/>
          <w:bottom w:w="85" w:type="dxa"/>
          <w:right w:w="100" w:type="dxa"/>
        </w:tblCellMar>
        <w:tblLook w:val="04a0" w:noVBand="1" w:noHBand="0" w:lastColumn="0" w:firstColumn="1" w:lastRow="0" w:firstRow="1"/>
      </w:tblPr>
      <w:tblGrid>
        <w:gridCol w:w="2972"/>
        <w:gridCol w:w="7021"/>
      </w:tblGrid>
      <w:tr>
        <w:trPr>
          <w:cantSplit w:val="true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b/>
                <w:color w:val="000000"/>
                <w:sz w:val="22"/>
              </w:rPr>
              <w:t>Formación académica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color w:val="000000"/>
                <w:sz w:val="22"/>
              </w:rPr>
              <w:t>Título de Perito Contador, requisito indispensable. Se valorarán estudios universitarios en Contaduría Pública y Auditoría, Administración, Finanzas o carrera afín.</w:t>
            </w:r>
          </w:p>
        </w:tc>
      </w:tr>
      <w:tr>
        <w:trPr>
          <w:cantSplit w:val="true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b/>
                <w:color w:val="000000"/>
                <w:sz w:val="22"/>
              </w:rPr>
              <w:t>Experiencia general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F4F6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color w:val="000000"/>
                <w:sz w:val="22"/>
              </w:rPr>
              <w:t>Mínimo dos años de experiencia comprobable en apoyo contable, financiero o administrativo.</w:t>
            </w:r>
          </w:p>
        </w:tc>
      </w:tr>
      <w:tr>
        <w:trPr>
          <w:cantSplit w:val="true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b/>
                <w:color w:val="000000"/>
                <w:sz w:val="22"/>
              </w:rPr>
              <w:t>Experiencia específica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color w:val="000000"/>
                <w:sz w:val="22"/>
              </w:rPr>
              <w:t>Mínimo un año de experiencia comprobable en registro contable, conciliaciones, ejecución presupuestaria y controles financieros de recursos públicos administrados por entidades públicas o privadas.</w:t>
            </w:r>
          </w:p>
        </w:tc>
      </w:tr>
      <w:tr>
        <w:trPr>
          <w:cantSplit w:val="true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b/>
                <w:color w:val="000000"/>
                <w:sz w:val="22"/>
              </w:rPr>
              <w:t>Conocimientos indispensables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F4F6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color w:val="000000"/>
                <w:sz w:val="22"/>
              </w:rPr>
              <w:t>Contabilidad y documentación tributaria; conciliaciones; ejecución presupuestaria; control de anticipos, retenciones y cuentas por pagar; Caja Fiscal; TSS; sistemas de retenciones tributarias; archivo físico y digital; y manejo de hojas de cálculo.</w:t>
            </w:r>
          </w:p>
        </w:tc>
      </w:tr>
      <w:tr>
        <w:trPr>
          <w:cantSplit w:val="true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b/>
                <w:color w:val="000000"/>
                <w:sz w:val="22"/>
              </w:rPr>
              <w:t>Competencias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color w:val="000000"/>
                <w:sz w:val="22"/>
              </w:rPr>
              <w:t>Orden, responsabilidad, atención al detalle, capacidad numérica, seguimiento de instrucciones, manejo de plazos, comunicación, confidencialidad y disposición para aplicar correcciones y trabajar coordinadamente.</w:t>
            </w:r>
          </w:p>
        </w:tc>
      </w:tr>
    </w:tbl>
    <w:p>
      <w:pPr>
        <w:pStyle w:val="Heading1"/>
        <w:numPr>
          <w:ilvl w:val="0"/>
          <w:numId w:val="2"/>
        </w:numPr>
        <w:rPr>
          <w:rFonts w:ascii="Calibri" w:hAnsi="Calibri" w:cs="Calibri"/>
          <w:color w:val="1F497D" w:themeColor="text2"/>
          <w:sz w:val="24"/>
          <w:szCs w:val="24"/>
        </w:rPr>
      </w:pPr>
      <w:r>
        <w:rPr>
          <w:rFonts w:cs="Calibri"/>
          <w:color w:val="1F497D" w:themeColor="text2"/>
          <w:sz w:val="24"/>
          <w:szCs w:val="24"/>
        </w:rPr>
        <w:t>Plazo honorarios modalidad y forma de pago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 w:themeColor="text1"/>
          <w:sz w:val="22"/>
        </w:rPr>
      </w:pPr>
      <w:r>
        <w:rPr>
          <w:rFonts w:cs="Calibri" w:ascii="Calibri" w:hAnsi="Calibri"/>
          <w:color w:val="000000" w:themeColor="text1"/>
          <w:sz w:val="22"/>
        </w:rPr>
        <w:t>El servicio tendrá una duración de dos (2) meses, contados a partir de la fecha establecida en el contrato.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 w:themeColor="text1"/>
          <w:sz w:val="22"/>
        </w:rPr>
      </w:pPr>
      <w:r>
        <w:rPr>
          <w:rFonts w:cs="Calibri" w:ascii="Calibri" w:hAnsi="Calibri"/>
          <w:color w:val="000000" w:themeColor="text1"/>
          <w:sz w:val="22"/>
        </w:rPr>
        <w:t>Los honorarios serán de siete mil quetzales exactos (Q7,000.00) mensuales, para un monto total de catorce mil quetzales exactos (Q14,000.00).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 w:themeColor="text1"/>
          <w:sz w:val="22"/>
        </w:rPr>
      </w:pPr>
      <w:r>
        <w:rPr>
          <w:rFonts w:cs="Calibri" w:ascii="Calibri" w:hAnsi="Calibri"/>
          <w:color w:val="000000" w:themeColor="text1"/>
          <w:sz w:val="22"/>
        </w:rPr>
        <w:t>Los honorarios incluyen los impuestos aplicables y estarán sujetos a las retenciones que correspondan conforme a la normativa vigente.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 w:themeColor="text1"/>
          <w:sz w:val="22"/>
        </w:rPr>
      </w:pPr>
      <w:r>
        <w:rPr>
          <w:rFonts w:cs="Calibri" w:ascii="Calibri" w:hAnsi="Calibri"/>
          <w:color w:val="000000" w:themeColor="text1"/>
          <w:sz w:val="22"/>
        </w:rPr>
        <w:t>Se efectuar</w:t>
      </w:r>
      <w:r>
        <w:rPr>
          <w:rFonts w:cs="Calibri" w:ascii="Calibri" w:hAnsi="Calibri"/>
          <w:color w:val="000000" w:themeColor="text1"/>
          <w:sz w:val="22"/>
          <w:lang w:val="es-GT"/>
        </w:rPr>
        <w:t xml:space="preserve">á </w:t>
      </w:r>
      <w:r>
        <w:rPr>
          <w:rFonts w:cs="Calibri" w:ascii="Calibri" w:hAnsi="Calibri"/>
          <w:color w:val="000000" w:themeColor="text1"/>
          <w:sz w:val="22"/>
          <w:lang w:val="es-GT"/>
        </w:rPr>
        <w:t>un</w:t>
      </w:r>
      <w:r>
        <w:rPr>
          <w:rFonts w:cs="Calibri" w:ascii="Calibri" w:hAnsi="Calibri"/>
          <w:color w:val="000000" w:themeColor="text1"/>
          <w:sz w:val="22"/>
        </w:rPr>
        <w:t xml:space="preserve"> (</w:t>
      </w:r>
      <w:r>
        <w:rPr>
          <w:rFonts w:cs="Calibri" w:ascii="Calibri" w:hAnsi="Calibri"/>
          <w:color w:val="000000" w:themeColor="text1"/>
          <w:sz w:val="22"/>
        </w:rPr>
        <w:t>1</w:t>
      </w:r>
      <w:r>
        <w:rPr>
          <w:rFonts w:cs="Calibri" w:ascii="Calibri" w:hAnsi="Calibri"/>
          <w:color w:val="000000" w:themeColor="text1"/>
          <w:sz w:val="22"/>
        </w:rPr>
        <w:t>) pago mensual de siete mil quetzales exactos (Q7,000.00), contra la verificación y aprobación de los servicios prestados durante el período, la emisión de la constancia de recepción y conformidad, la presentación de la factura y el cumplimiento de los requisitos administrativos establecidos por Caja Lúdica.</w:t>
      </w:r>
    </w:p>
    <w:p>
      <w:pPr>
        <w:pStyle w:val="Heading1"/>
        <w:numPr>
          <w:ilvl w:val="0"/>
          <w:numId w:val="2"/>
        </w:numPr>
        <w:rPr>
          <w:rFonts w:ascii="Calibri" w:hAnsi="Calibri" w:cs="Calibri"/>
          <w:color w:val="1F497D" w:themeColor="text2"/>
          <w:sz w:val="24"/>
          <w:szCs w:val="24"/>
        </w:rPr>
      </w:pPr>
      <w:r>
        <w:rPr>
          <w:rFonts w:cs="Calibri"/>
          <w:color w:val="1F497D" w:themeColor="text2"/>
          <w:sz w:val="24"/>
          <w:szCs w:val="24"/>
        </w:rPr>
        <w:t>Supervisión y coordinación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 xml:space="preserve">La Dirección Ejecutiva designará por escrito a la persona responsable de supervisar el servicio. El/la Auxiliar Contable y de Rendición Financiera trabajará bajo la orientación técnica del/de la Contador/a </w:t>
      </w:r>
      <w:r>
        <w:rPr>
          <w:rFonts w:cs="Calibri" w:ascii="Calibri" w:hAnsi="Calibri"/>
          <w:color w:val="000000"/>
          <w:sz w:val="22"/>
        </w:rPr>
        <w:t>de Ejecuci</w:t>
      </w:r>
      <w:r>
        <w:rPr>
          <w:rFonts w:cs="Calibri" w:ascii="Calibri" w:hAnsi="Calibri"/>
          <w:color w:val="000000"/>
          <w:sz w:val="22"/>
          <w:lang w:val="es-GT"/>
        </w:rPr>
        <w:t>ón Financiera y rendición de Cuentas</w:t>
      </w:r>
      <w:r>
        <w:rPr>
          <w:rFonts w:cs="Calibri" w:ascii="Calibri" w:hAnsi="Calibri"/>
          <w:color w:val="000000"/>
          <w:sz w:val="22"/>
        </w:rPr>
        <w:t xml:space="preserve"> y coordinará con la Administración, el equipo técnico y el puesto responsable de contrataciones y GUATECOMPRAS. No podrá aprobar gastos, autorizar pagos o transferencias, validar rendiciones, presentar información institucional sin revisión ni sustituir firmas o responsabilidades asignadas a otras personas.</w:t>
      </w:r>
    </w:p>
    <w:p>
      <w:pPr>
        <w:pStyle w:val="Heading1"/>
        <w:numPr>
          <w:ilvl w:val="0"/>
          <w:numId w:val="2"/>
        </w:numPr>
        <w:rPr>
          <w:rFonts w:ascii="Calibri" w:hAnsi="Calibri" w:cs="Calibri"/>
          <w:color w:val="1F497D" w:themeColor="text2"/>
          <w:sz w:val="24"/>
          <w:szCs w:val="24"/>
        </w:rPr>
      </w:pPr>
      <w:r>
        <w:rPr>
          <w:rFonts w:cs="Calibri"/>
          <w:color w:val="1F497D" w:themeColor="text2"/>
          <w:sz w:val="24"/>
          <w:szCs w:val="24"/>
        </w:rPr>
        <w:t>Confidencialidad propiedad y entrega de información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La persona contratada deberá guardar confidencialidad sobre la información contable, financiera, bancaria, tributaria, contractual, institucional y personal a la que tenga acceso. Los auxiliares, matrices, bases de datos, archivos, respaldos y documentos generados o administrados en el marco del servicio serán propiedad de Caja Lúdica y deberán mantenerse en los repositorios autorizados.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  <w:t>Los accesos a TSS, al portal de la Contraloría General de Cuentas, a los sistemas tributarios y a cualquier otra plataforma deberán ser individuales y utilizarse únicamente conforme al perfil formalmente asignado. No se compartirán contraseñas. Al finalizar la contratación, la persona entregará la información bajo su responsabilidad y Caja Lúdica gestionará la revocación o reasignación de los accesos correspondientes.</w:t>
      </w:r>
    </w:p>
    <w:p>
      <w:pPr>
        <w:pStyle w:val="Heading1"/>
        <w:numPr>
          <w:ilvl w:val="0"/>
          <w:numId w:val="2"/>
        </w:numPr>
        <w:rPr>
          <w:rFonts w:ascii="Calibri" w:hAnsi="Calibri" w:cs="Calibri"/>
          <w:color w:val="1F497D" w:themeColor="text2"/>
          <w:sz w:val="24"/>
          <w:szCs w:val="24"/>
        </w:rPr>
      </w:pPr>
      <w:r>
        <w:rPr>
          <w:rFonts w:cs="Calibri"/>
          <w:color w:val="1F497D" w:themeColor="text2"/>
          <w:sz w:val="24"/>
          <w:szCs w:val="24"/>
        </w:rPr>
        <w:t>Presentación y evaluación de postulaciones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Para participar en el proceso, las personas interesadas deberán presentar:</w:t>
      </w:r>
    </w:p>
    <w:p>
      <w:pPr>
        <w:pStyle w:val="Normal"/>
        <w:spacing w:before="0" w:after="4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sz w:val="22"/>
        </w:rPr>
      </w:r>
    </w:p>
    <w:p>
      <w:pPr>
        <w:pStyle w:val="Normal"/>
        <w:spacing w:before="0" w:after="40"/>
        <w:ind w:left="360" w:hanging="3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b/>
          <w:color w:val="000000"/>
          <w:sz w:val="22"/>
        </w:rPr>
        <w:t xml:space="preserve">a) </w:t>
      </w:r>
      <w:r>
        <w:rPr>
          <w:rFonts w:cs="Calibri" w:ascii="Calibri" w:hAnsi="Calibri"/>
          <w:color w:val="000000"/>
          <w:sz w:val="22"/>
        </w:rPr>
        <w:t>Hoja de vida actualizada, con información de contacto y descripción precisa de la experiencia en registro contable, conciliaciones, ejecución presupuestaria, Caja Fiscal, TSS y controles tributarios.</w:t>
      </w:r>
    </w:p>
    <w:p>
      <w:pPr>
        <w:pStyle w:val="Normal"/>
        <w:spacing w:before="0" w:after="40"/>
        <w:ind w:left="360" w:hanging="3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b/>
          <w:color w:val="000000"/>
          <w:sz w:val="22"/>
        </w:rPr>
        <w:t xml:space="preserve">b) </w:t>
      </w:r>
      <w:r>
        <w:rPr>
          <w:rFonts w:cs="Calibri" w:ascii="Calibri" w:hAnsi="Calibri"/>
          <w:color w:val="000000"/>
          <w:sz w:val="22"/>
        </w:rPr>
        <w:t>Copia del título de Perito Contador.</w:t>
      </w:r>
    </w:p>
    <w:p>
      <w:pPr>
        <w:pStyle w:val="Normal"/>
        <w:spacing w:before="0" w:after="40"/>
        <w:ind w:left="360" w:hanging="3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b/>
          <w:color w:val="000000"/>
          <w:sz w:val="22"/>
        </w:rPr>
        <w:t xml:space="preserve">c) </w:t>
      </w:r>
      <w:r>
        <w:rPr>
          <w:rFonts w:cs="Calibri" w:ascii="Calibri" w:hAnsi="Calibri"/>
          <w:color w:val="000000"/>
          <w:sz w:val="22"/>
        </w:rPr>
        <w:t>Constancias o certificaciones de estudios universitarios, cuando corresponda.</w:t>
      </w:r>
    </w:p>
    <w:p>
      <w:pPr>
        <w:pStyle w:val="Normal"/>
        <w:spacing w:before="0" w:after="40"/>
        <w:ind w:left="360" w:hanging="3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b/>
          <w:color w:val="000000"/>
          <w:sz w:val="22"/>
        </w:rPr>
        <w:t xml:space="preserve">d) </w:t>
      </w:r>
      <w:r>
        <w:rPr>
          <w:rFonts w:cs="Calibri" w:ascii="Calibri" w:hAnsi="Calibri"/>
          <w:color w:val="000000"/>
          <w:sz w:val="22"/>
        </w:rPr>
        <w:t>Constancias laborales, contratos, certificaciones o cartas de referencia que acrediten la experiencia general y específica requerida.</w:t>
      </w:r>
    </w:p>
    <w:p>
      <w:pPr>
        <w:pStyle w:val="Normal"/>
        <w:spacing w:before="0" w:after="40"/>
        <w:ind w:left="360" w:hanging="3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b/>
          <w:color w:val="000000"/>
          <w:sz w:val="22"/>
        </w:rPr>
        <w:t xml:space="preserve">e) </w:t>
      </w:r>
      <w:r>
        <w:rPr>
          <w:rFonts w:cs="Calibri" w:ascii="Calibri" w:hAnsi="Calibri"/>
          <w:color w:val="000000"/>
          <w:sz w:val="22"/>
        </w:rPr>
        <w:t>Declaración firmada de aceptación de estos términos de referencia, del plazo y de los honorarios establecidos.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  <w:t>La persona seleccionada deberá presentar, antes de la firma del contrato, los documentos siguientes: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b/>
          <w:bCs/>
          <w:color w:val="000000"/>
          <w:sz w:val="22"/>
        </w:rPr>
        <w:t>a)</w:t>
      </w:r>
      <w:r>
        <w:rPr>
          <w:rFonts w:cs="Calibri" w:ascii="Calibri" w:hAnsi="Calibri"/>
          <w:color w:val="000000"/>
          <w:sz w:val="22"/>
        </w:rPr>
        <w:t xml:space="preserve"> Copia legible del Documento Personal de Identificación —DPI— vigente.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b/>
          <w:bCs/>
          <w:color w:val="000000"/>
          <w:sz w:val="22"/>
        </w:rPr>
        <w:t>b)</w:t>
      </w:r>
      <w:r>
        <w:rPr>
          <w:rFonts w:cs="Calibri" w:ascii="Calibri" w:hAnsi="Calibri"/>
          <w:color w:val="000000"/>
          <w:sz w:val="22"/>
        </w:rPr>
        <w:t xml:space="preserve"> Constancia actualizada o ratificada del Registro Tributario Unificado —RTU—, con actividad económica compatible y habilitación para emitir Factura Electrónica en Línea —FEL—.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b/>
          <w:bCs/>
          <w:color w:val="000000"/>
          <w:sz w:val="22"/>
        </w:rPr>
        <w:t>c)</w:t>
      </w:r>
      <w:r>
        <w:rPr>
          <w:rFonts w:cs="Calibri" w:ascii="Calibri" w:hAnsi="Calibri"/>
          <w:color w:val="000000"/>
          <w:sz w:val="22"/>
        </w:rPr>
        <w:t xml:space="preserve"> Solvencia fiscal vigente o emitida dentro del plazo que establezca la normativa o la entidad otorgante para el proceso.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b/>
          <w:bCs/>
          <w:color w:val="000000"/>
          <w:sz w:val="22"/>
        </w:rPr>
        <w:t>d)</w:t>
      </w:r>
      <w:r>
        <w:rPr>
          <w:rFonts w:cs="Calibri" w:ascii="Calibri" w:hAnsi="Calibri"/>
          <w:color w:val="000000"/>
          <w:sz w:val="22"/>
        </w:rPr>
        <w:t xml:space="preserve"> Antecedentes penales y policiales vigentes.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b/>
          <w:bCs/>
          <w:color w:val="000000"/>
          <w:sz w:val="22"/>
        </w:rPr>
        <w:t>e)</w:t>
      </w:r>
      <w:r>
        <w:rPr>
          <w:rFonts w:cs="Calibri" w:ascii="Calibri" w:hAnsi="Calibri"/>
          <w:color w:val="000000"/>
          <w:sz w:val="22"/>
        </w:rPr>
        <w:t xml:space="preserve"> Certificación o constancia de cuenta bancaria a nombre de la persona contratada.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b/>
          <w:bCs/>
          <w:color w:val="000000"/>
          <w:sz w:val="22"/>
        </w:rPr>
        <w:t>f)</w:t>
      </w:r>
      <w:r>
        <w:rPr>
          <w:rFonts w:cs="Calibri" w:ascii="Calibri" w:hAnsi="Calibri"/>
          <w:color w:val="000000"/>
          <w:sz w:val="22"/>
        </w:rPr>
        <w:t xml:space="preserve"> Declaración jurada o administrativa, en el formato de Caja Lúdica, sobre la veracidad de la información, la inexistencia de conflicto de interés y la ausencia de prohibiciones o incompatibilidades.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b/>
          <w:bCs/>
          <w:color w:val="000000"/>
          <w:sz w:val="22"/>
        </w:rPr>
        <w:t>g)</w:t>
      </w:r>
      <w:r>
        <w:rPr>
          <w:rFonts w:cs="Calibri" w:ascii="Calibri" w:hAnsi="Calibri"/>
          <w:color w:val="000000"/>
          <w:sz w:val="22"/>
        </w:rPr>
        <w:t xml:space="preserve"> Constancia electrónica vigente de inscripción y, cuando corresponda, de precalificación en el Registro General de Adquisiciones del Estado —RGAE—, si la normativa, la modalidad del proceso o la entidad otorgante la exige.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b/>
          <w:bCs/>
          <w:color w:val="000000"/>
          <w:sz w:val="22"/>
        </w:rPr>
        <w:t>h)</w:t>
      </w:r>
      <w:r>
        <w:rPr>
          <w:rFonts w:cs="Calibri" w:ascii="Calibri" w:hAnsi="Calibri"/>
          <w:color w:val="000000"/>
          <w:sz w:val="22"/>
        </w:rPr>
        <w:t xml:space="preserve"> Constancia Transitoria de Inexistencia de Reclamación de Cargos de la Contraloría General de Cuentas, cuando corresponda por cargos públicos o manejo previo de bienes o recursos del Estado, o por requerimiento de la entidad otorgante.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La documentación deberá enviarse al correo electrónico cajaludica@gmail.com, indicando en el asunto: “Postulación – Auxiliar Contable y de Rendición Financiera”.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La fecha límite para la recepción de postulaciones será el lunes 2 de noviembre de 2026, a las 17:00 horas. La documentación deberá remitirse en formato PDF, preferiblemente integrada en un solo archivo e identificada con el nombre completo de la persona postulante.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/>
          <w:sz w:val="22"/>
        </w:rPr>
      </w:pPr>
      <w:r>
        <w:rPr>
          <w:rFonts w:cs="Calibri" w:ascii="Calibri" w:hAnsi="Calibri"/>
          <w:color w:val="000000"/>
          <w:sz w:val="22"/>
        </w:rPr>
        <w:t>No se tomarán en cuenta los expedientes incompletos ni las postulaciones recibidas después de la fecha y hora establecidas. Caja Lúdica se comunicará únicamente con las personas seleccionadas para continuar en el proceso.</w:t>
      </w:r>
    </w:p>
    <w:sectPr>
      <w:headerReference w:type="default" r:id="rId2"/>
      <w:type w:val="nextPage"/>
      <w:pgSz w:w="12240" w:h="15840"/>
      <w:pgMar w:left="1123" w:right="1123" w:gutter="0" w:header="288" w:top="1037" w:footer="0" w:bottom="8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ptos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margin">
            <wp:align>center</wp:align>
          </wp:positionH>
          <wp:positionV relativeFrom="paragraph">
            <wp:posOffset>-59055</wp:posOffset>
          </wp:positionV>
          <wp:extent cx="1133475" cy="1133475"/>
          <wp:effectExtent l="0" t="0" r="0" b="0"/>
          <wp:wrapNone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rPr/>
    </w:pPr>
    <w:r>
      <w:rPr/>
    </w:r>
  </w:p>
  <w:p>
    <w:pPr>
      <w:pStyle w:val="Normal"/>
      <w:rPr/>
    </w:pPr>
    <w:r>
      <w:rPr/>
    </w:r>
  </w:p>
  <w:p>
    <w:pPr>
      <w:pStyle w:val="Normal"/>
      <w:widowControl/>
      <w:bidi w:val="0"/>
      <w:spacing w:lineRule="auto" w:line="264" w:before="0" w:after="120"/>
      <w:jc w:val="left"/>
      <w:rPr/>
    </w:pPr>
    <w:r>
      <w:rPr/>
      <w:b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64" w:before="0" w:after="120"/>
      <w:jc w:val="left"/>
    </w:pPr>
    <w:rPr>
      <w:rFonts w:ascii="Aptos" w:hAnsi="Aptos" w:eastAsia="ＭＳ 明朝" w:cs=""/>
      <w:color w:val="1F1F1F"/>
      <w:kern w:val="0"/>
      <w:sz w:val="20"/>
      <w:szCs w:val="22"/>
      <w:lang w:val="es-GT" w:eastAsia="en-U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fc693f"/>
    <w:pPr>
      <w:keepNext w:val="true"/>
      <w:keepLines/>
      <w:spacing w:before="320" w:after="16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32"/>
      <w:szCs w:val="28"/>
    </w:rPr>
  </w:style>
  <w:style w:type="paragraph" w:styleId="Heading2">
    <w:name w:val="Heading 2"/>
    <w:basedOn w:val="Normal"/>
    <w:next w:val="Normal"/>
    <w:link w:val="Ttulo2Car"/>
    <w:uiPriority w:val="9"/>
    <w:unhideWhenUsed/>
    <w:qFormat/>
    <w:rsid w:val="00fc693f"/>
    <w:pPr>
      <w:keepNext w:val="true"/>
      <w:keepLines/>
      <w:spacing w:before="240" w:after="12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26"/>
      <w:szCs w:val="26"/>
    </w:rPr>
  </w:style>
  <w:style w:type="paragraph" w:styleId="Heading3">
    <w:name w:val="Heading 3"/>
    <w:basedOn w:val="Normal"/>
    <w:next w:val="Normal"/>
    <w:link w:val="Ttulo3C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Cs w:val="20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Header"/>
    <w:uiPriority w:val="99"/>
    <w:qFormat/>
    <w:rsid w:val="00e618bf"/>
    <w:rPr/>
  </w:style>
  <w:style w:type="character" w:styleId="PiedepginaCar" w:customStyle="1">
    <w:name w:val="Pie de página Car"/>
    <w:basedOn w:val="DefaultParagraphFont"/>
    <w:link w:val="Footer"/>
    <w:uiPriority w:val="99"/>
    <w:qFormat/>
    <w:rsid w:val="00e618bf"/>
    <w:rPr/>
  </w:style>
  <w:style w:type="character" w:styleId="Ttulo1Car" w:customStyle="1">
    <w:name w:val="Título 1 C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tuloCar" w:customStyle="1">
    <w:name w:val="Título C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tuloCar" w:customStyle="1">
    <w:name w:val="Subtítulo C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extoindependienteCar" w:customStyle="1">
    <w:name w:val="Texto independiente Car"/>
    <w:basedOn w:val="DefaultParagraphFont"/>
    <w:uiPriority w:val="99"/>
    <w:qFormat/>
    <w:rsid w:val="00aa1d8d"/>
    <w:rPr/>
  </w:style>
  <w:style w:type="character" w:styleId="Textoindependiente2Car" w:customStyle="1">
    <w:name w:val="Texto independiente 2 Car"/>
    <w:basedOn w:val="DefaultParagraphFont"/>
    <w:link w:val="BodyText2"/>
    <w:uiPriority w:val="99"/>
    <w:qFormat/>
    <w:rsid w:val="00aa1d8d"/>
    <w:rPr/>
  </w:style>
  <w:style w:type="character" w:styleId="Textoindependiente3Car" w:customStyle="1">
    <w:name w:val="Texto independiente 3 C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xtomacroCar" w:customStyle="1">
    <w:name w:val="Texto macro C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itaCar" w:customStyle="1">
    <w:name w:val="Cita C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Ttulo5Car" w:customStyle="1">
    <w:name w:val="Título 5 C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Ttulo6Car" w:customStyle="1">
    <w:name w:val="Título 6 C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Ttulo7Car" w:customStyle="1">
    <w:name w:val="Título 7 C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Ttulo8Car" w:customStyle="1">
    <w:name w:val="Título 8 C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InternetLink">
    <w:name w:val="Hyperlink"/>
    <w:basedOn w:val="DefaultParagraphFont"/>
    <w:uiPriority w:val="99"/>
    <w:unhideWhenUsed/>
    <w:rsid w:val="00c610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610b7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link w:val="TextoindependienteCar"/>
    <w:uiPriority w:val="99"/>
    <w:unhideWhenUsed/>
    <w:rsid w:val="00aa1d8d"/>
    <w:pPr/>
    <w:rPr/>
  </w:style>
  <w:style w:type="paragraph" w:styleId="List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tuloCar"/>
    <w:uiPriority w:val="10"/>
    <w:qFormat/>
    <w:rsid w:val="00fc693f"/>
    <w:pP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tuloC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hanging="0"/>
      <w:contextualSpacing/>
    </w:pPr>
    <w:rPr/>
  </w:style>
  <w:style w:type="paragraph" w:styleId="BodyText2">
    <w:name w:val="Body Text 2"/>
    <w:basedOn w:val="Normal"/>
    <w:link w:val="Textoindependiente2Car"/>
    <w:uiPriority w:val="99"/>
    <w:unhideWhenUsed/>
    <w:qFormat/>
    <w:rsid w:val="00aa1d8d"/>
    <w:pPr>
      <w:spacing w:lineRule="auto" w:line="480"/>
    </w:pPr>
    <w:rPr/>
  </w:style>
  <w:style w:type="paragraph" w:styleId="BodyText3">
    <w:name w:val="Body Text 3"/>
    <w:basedOn w:val="Normal"/>
    <w:link w:val="Textoindependiente3Car"/>
    <w:uiPriority w:val="99"/>
    <w:unhideWhenUsed/>
    <w:qFormat/>
    <w:rsid w:val="00aa1d8d"/>
    <w:pPr/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12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xtomacroC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C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Heading"/>
    <w:pPr/>
    <w:rPr/>
  </w:style>
  <w:style w:type="paragraph" w:styleId="Contents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NormalWeb">
    <w:name w:val="Normal (Web)"/>
    <w:basedOn w:val="Normal"/>
    <w:uiPriority w:val="99"/>
    <w:semiHidden/>
    <w:unhideWhenUsed/>
    <w:qFormat/>
    <w:rsid w:val="004a5a72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s-G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LibreOffice/7.3.6.2$MacOSX_X86_64 LibreOffice_project/c28ca90fd6e1a19e189fc16c05f8f8924961e12e</Application>
  <AppVersion>15.0000</AppVersion>
  <Pages>4</Pages>
  <Words>1481</Words>
  <Characters>9404</Characters>
  <CharactersWithSpaces>10793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2026-10-27T22:29:00Z</dcterms:created>
  <dc:creator>Asociación Civil Caja Lúdica</dc:creator>
  <dc:description>generated by python-docx</dc:description>
  <cp:keywords>Auxiliar Contable y de Rendición Financiera recursos públicos conciliaciones Caja Fiscal TSS</cp:keywords>
  <dc:language>en-US</dc:language>
  <cp:lastModifiedBy/>
  <dcterms:modified xsi:type="dcterms:W3CDTF">2026-10-28T09:39:30Z</dcterms:modified>
  <cp:revision>4</cp:revision>
  <dc:subject>Contratación de servicios técnicos por dos meses para operación contable y financiera de recursos públicos</dc:subject>
  <dc:title>Términos de Referencia Servicios técnicos de Auxiliar Contable y de Rendición Financiera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