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cstheme="majorHAnsi" w:ascii="Calibri" w:hAnsi="Calibri"/>
          <w:sz w:val="22"/>
        </w:rPr>
      </w:r>
    </w:p>
    <w:p>
      <w:pPr>
        <w:pStyle w:val="Title"/>
        <w:spacing w:before="40" w:after="40"/>
        <w:contextualSpacing/>
        <w:jc w:val="center"/>
        <w:rPr>
          <w:rFonts w:cs="Calibri" w:cstheme="majorHAnsi"/>
          <w:sz w:val="30"/>
          <w:szCs w:val="30"/>
        </w:rPr>
      </w:pPr>
      <w:r>
        <w:rPr>
          <w:rFonts w:cs="Calibri" w:cstheme="majorHAnsi"/>
          <w:b/>
          <w:color w:val="000000"/>
          <w:sz w:val="30"/>
          <w:szCs w:val="30"/>
        </w:rPr>
        <w:t>TÉRMINOS DE REFERENCIA</w:t>
      </w:r>
    </w:p>
    <w:p>
      <w:pPr>
        <w:pStyle w:val="Normal"/>
        <w:spacing w:before="0" w:after="160"/>
        <w:jc w:val="center"/>
        <w:rPr>
          <w:rFonts w:ascii="Calibri" w:hAnsi="Calibri" w:cs="Calibri" w:asciiTheme="majorHAnsi" w:cstheme="majorHAnsi" w:hAnsiTheme="majorHAnsi"/>
          <w:sz w:val="30"/>
          <w:szCs w:val="30"/>
        </w:rPr>
      </w:pPr>
      <w:r>
        <w:rPr>
          <w:rFonts w:cs="Calibri" w:ascii="Calibri" w:hAnsi="Calibri" w:asciiTheme="majorHAnsi" w:cstheme="majorHAnsi" w:hAnsiTheme="majorHAnsi"/>
          <w:b/>
          <w:color w:val="2D0B45"/>
          <w:sz w:val="30"/>
          <w:szCs w:val="30"/>
        </w:rPr>
        <w:t>Servicios técnicos de Auxiliar de Contrataciones y GUATECOMPRAS</w:t>
      </w:r>
    </w:p>
    <w:tbl>
      <w:tblPr>
        <w:tblW w:w="9994" w:type="dxa"/>
        <w:jc w:val="center"/>
        <w:tblInd w:w="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noVBand="1" w:noHBand="0" w:lastColumn="0" w:firstColumn="1" w:lastRow="0" w:firstRow="1"/>
      </w:tblPr>
      <w:tblGrid>
        <w:gridCol w:w="2827"/>
        <w:gridCol w:w="7166"/>
      </w:tblGrid>
      <w:tr>
        <w:trPr/>
        <w:tc>
          <w:tcPr>
            <w:tcW w:w="28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Entidad contratante</w:t>
            </w:r>
          </w:p>
        </w:tc>
        <w:tc>
          <w:tcPr>
            <w:tcW w:w="71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Asociación Civil Caja Lúdica</w:t>
            </w:r>
          </w:p>
        </w:tc>
      </w:tr>
      <w:tr>
        <w:trPr/>
        <w:tc>
          <w:tcPr>
            <w:tcW w:w="28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Denominación</w:t>
            </w:r>
          </w:p>
        </w:tc>
        <w:tc>
          <w:tcPr>
            <w:tcW w:w="71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Servicios técnicos de Auxiliar de Contrataciones y GUATECOMPRAS</w:t>
            </w:r>
          </w:p>
        </w:tc>
      </w:tr>
      <w:tr>
        <w:trPr/>
        <w:tc>
          <w:tcPr>
            <w:tcW w:w="28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Ámbito</w:t>
            </w:r>
          </w:p>
        </w:tc>
        <w:tc>
          <w:tcPr>
            <w:tcW w:w="71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Gestión documental de adquisiciones y operación de GUATECOMPRAS para el convenio con el Ministerio de Cultura y Deportes</w:t>
            </w:r>
          </w:p>
        </w:tc>
      </w:tr>
      <w:tr>
        <w:trPr/>
        <w:tc>
          <w:tcPr>
            <w:tcW w:w="28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Plazo</w:t>
            </w:r>
          </w:p>
        </w:tc>
        <w:tc>
          <w:tcPr>
            <w:tcW w:w="71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Dos (2) meses</w:t>
            </w:r>
          </w:p>
        </w:tc>
      </w:tr>
      <w:tr>
        <w:trPr/>
        <w:tc>
          <w:tcPr>
            <w:tcW w:w="28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Lugar de prestación</w:t>
            </w:r>
          </w:p>
        </w:tc>
        <w:tc>
          <w:tcPr>
            <w:tcW w:w="71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Sede de Caja Lúdica, ciudad de Guatemala, con las coordinaciones y gestiones presenciales que requiera el servicio.</w:t>
            </w:r>
          </w:p>
        </w:tc>
      </w:tr>
    </w:tbl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1 Antecedentes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Caja Lúdica administra recursos públicos destinados a procesos culturales, artísticos, formativos y comunitarios. Las adquisiciones efectuadas con esos recursos deben documentarse, tramitarse y publicarse conforme a la normativa aplicable, las condiciones del convenio y los procedimientos institucionales.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El período de ejecución requiere una persona responsable de organizar los procedimientos de adquisición, mantener completos sus expedientes y efectuar oportunamente los registros y publicaciones que correspondan en GUATECOMPRAS.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2 Objeto y alcance de la contratación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Contratar servicios técnicos de Auxiliar de Contrataciones y GUATECOMPRAS para gestionar documentalmente las adquisiciones del convenio, integrar sus expedientes y efectuar los registros y publicaciones que correspondan en el Sistema de Información de Contrataciones y Adquisiciones del Estado.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El servicio comprende la programación y seguimiento de adquisiciones, la preparación documental de los procedimientos, el control de contratos y documentos de recepción, la operación de GUATECOMPRAS y el cierre de los expedientes. Las decisiones de autorización, evaluación, adjudicación, contratación y pago corresponderán a las autoridades, comités o personas formalmente designadas.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3 Responsabilidad central del puesto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>Gestionar documental y operativamente los procedimientos de adquisición del convenio, integrar sus expedientes y efectuar oportunamente los registros y publicaciones correspondientes en GUATECOMPRAS.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persona trasladará al/a la Auxiliar Contable y de Rendición Financiera los expedientes administrativos completos y autorizados para su verificación contable y tributaria, registro y trámite de pago. No llevará la contabilidad, no elaborará conciliaciones, Caja Fiscal o TSS y no preparará ni autorizará pagos.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4 Responsabilidades principales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Mantener la programación y el control de las adquisiciones del convenio; recibir los requerimientos autorizados, registrar su estado y dar seguimiento a los plazos, responsables y documentos pendientes.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Preparar, conforme a la modalidad aprobada y las instrucciones de la supervisión, las listas de requisitos y la documentación de los procedimientos; gestionar cotizaciones u ofertas cuando corresponda y verificar la información administrativa de los proveedores, sin evaluarlos ni seleccionarlos.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Integrar los expedientes con los requerimientos, especificaciones o términos de referencia, disponibilidad presupuestaria, cotizaciones u ofertas, verificaciones, cuadros comparativos, actas, decisiones, autorizaciones, contratos u órdenes de compra y demás documentos aplicables.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Crear o gestionar en GUATECOMPRAS los NPG y NOG que correspondan y publicar oportunamente los documentos y actuaciones de cada procedimiento, incluidas las facturas FEL asociadas y la información posterior a la contratación, utilizando exclusivamente el perfil institucional autorizado.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Controlar la documentación de contratos, órdenes de compra, garantías, modificaciones, entregas, actas y constancias de recepción; mantener un calendario de vencimientos y comunicar de inmediato cualquier omisión, inconsistencia o incumplimiento.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Trasladar al/a la Auxiliar Contable y de Rendición Financiera los expedientes completos y autorizados para registro y trámite de pago; recibir posteriormente las constancias financieras que deban incorporarse o publicarse y mantener trazabilidad de cada entrega.</w:t>
      </w:r>
    </w:p>
    <w:p>
      <w:pPr>
        <w:pStyle w:val="ListParagraph"/>
        <w:numPr>
          <w:ilvl w:val="0"/>
          <w:numId w:val="2"/>
        </w:numPr>
        <w:spacing w:lineRule="auto" w:line="242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Mantener los expedientes físicos y digitales ordenados, foliados, indexados y concordantes con GUATECOMPRAS; integrar la información de su competencia requerida durante auditorías y entregar al finalizar la relación de NPG y NOG, los procesos en curso, las publicaciones pendientes, el inventario documental y los accesos institucionales bajo su responsabilidad.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5 Acreditación de los servicios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El cumplimiento se verificará mediante los expedientes actualizados, los registros de seguimiento y las constancias de publicación en GUATECOMPRAS. Para cada pago se requerirá:</w:t>
      </w:r>
    </w:p>
    <w:p>
      <w:pPr>
        <w:pStyle w:val="Normal"/>
        <w:spacing w:lineRule="auto" w:line="242" w:before="0" w:after="40"/>
        <w:ind w:left="360" w:hanging="288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 w:themeColor="text1"/>
          <w:sz w:val="22"/>
        </w:rPr>
        <w:t xml:space="preserve">• </w:t>
      </w: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Factura correspondiente.</w:t>
      </w:r>
    </w:p>
    <w:p>
      <w:pPr>
        <w:pStyle w:val="Normal"/>
        <w:spacing w:lineRule="auto" w:line="242" w:before="0" w:after="40"/>
        <w:ind w:left="360" w:hanging="288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 w:themeColor="text1"/>
          <w:sz w:val="22"/>
        </w:rPr>
        <w:t xml:space="preserve">• </w:t>
      </w: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Constancia de recepción y conformidad emitida por la supervisión.</w:t>
      </w:r>
    </w:p>
    <w:p>
      <w:pPr>
        <w:pStyle w:val="Normal"/>
        <w:spacing w:lineRule="auto" w:line="242" w:before="0" w:after="40"/>
        <w:ind w:left="360" w:hanging="288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 w:themeColor="text1"/>
          <w:sz w:val="22"/>
        </w:rPr>
        <w:t xml:space="preserve">• </w:t>
      </w: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Documentación de respaldo o índice que permita identificar los expedientes, registros y publicaciones atendidos durante el período.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Al finalizar el servicio, deberá entregar el estado de los procedimientos, la relación de NPG y NOG, las publicaciones pendientes, el inventario de expedientes y los archivos y accesos institucionales bajo su responsabilidad.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6 Perfil requerido</w:t>
      </w:r>
    </w:p>
    <w:tbl>
      <w:tblPr>
        <w:tblW w:w="9994" w:type="dxa"/>
        <w:jc w:val="center"/>
        <w:tblInd w:w="0" w:type="dxa"/>
        <w:tblLayout w:type="fixed"/>
        <w:tblCellMar>
          <w:top w:w="85" w:type="dxa"/>
          <w:left w:w="100" w:type="dxa"/>
          <w:bottom w:w="85" w:type="dxa"/>
          <w:right w:w="100" w:type="dxa"/>
        </w:tblCellMar>
        <w:tblLook w:val="04a0" w:noVBand="1" w:noHBand="0" w:lastColumn="0" w:firstColumn="1" w:lastRow="0" w:firstRow="1"/>
      </w:tblPr>
      <w:tblGrid>
        <w:gridCol w:w="2544"/>
        <w:gridCol w:w="7449"/>
      </w:tblGrid>
      <w:tr>
        <w:trPr>
          <w:cantSplit w:val="true"/>
        </w:trPr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Formación académica</w:t>
            </w:r>
          </w:p>
        </w:tc>
        <w:tc>
          <w:tcPr>
            <w:tcW w:w="74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Título de nivel medio de Perito Contador, Bachiller en Administración, Secretariado u otra carrera relacionada. Se valorarán estudios universitarios en Administración, Contaduría Pública y Auditoría, Ciencias Jurídicas o carrera afín.</w:t>
            </w:r>
          </w:p>
        </w:tc>
      </w:tr>
      <w:tr>
        <w:trPr>
          <w:cantSplit w:val="true"/>
        </w:trPr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Experiencia general</w:t>
            </w:r>
          </w:p>
        </w:tc>
        <w:tc>
          <w:tcPr>
            <w:tcW w:w="74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Mínimo tres años de experiencia comprobable en gestión administrativa, contrataciones, compras o control documental.</w:t>
            </w:r>
          </w:p>
        </w:tc>
      </w:tr>
      <w:tr>
        <w:trPr>
          <w:cantSplit w:val="true"/>
        </w:trPr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Experiencia específica</w:t>
            </w:r>
          </w:p>
        </w:tc>
        <w:tc>
          <w:tcPr>
            <w:tcW w:w="74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Mínimo dos años de experiencia comprobable en procedimientos de adquisición con recursos públicos, integración de expedientes y operación de GUATECOMPRAS.</w:t>
            </w:r>
          </w:p>
        </w:tc>
      </w:tr>
      <w:tr>
        <w:trPr>
          <w:cantSplit w:val="true"/>
        </w:trPr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Conocimientos indispensables</w:t>
            </w:r>
          </w:p>
        </w:tc>
        <w:tc>
          <w:tcPr>
            <w:tcW w:w="74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Ley de Contrataciones del Estado y su Reglamento; normas y operación de GUATECOMPRAS; modalidades NPG y NOG; registro de facturas FEL; control de proveedores, contratos y plazos; archivo físico y digital; y manejo de hojas de cálculo.</w:t>
            </w:r>
          </w:p>
        </w:tc>
      </w:tr>
      <w:tr>
        <w:trPr>
          <w:cantSplit w:val="true"/>
        </w:trPr>
        <w:tc>
          <w:tcPr>
            <w:tcW w:w="2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Competencias</w:t>
            </w:r>
          </w:p>
        </w:tc>
        <w:tc>
          <w:tcPr>
            <w:tcW w:w="74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Orden, responsabilidad, atención al detalle, análisis documental, seguimiento de instrucciones, manejo de plazos, comunicación, confidencialidad y capacidad para advertir faltantes o inconsistencias.</w:t>
            </w:r>
          </w:p>
        </w:tc>
      </w:tr>
    </w:tbl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7 Plazo honorarios modalidad y forma de pago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El servicio tendrá una duración de dos (2) meses, contados a partir de la fecha establecida en el contrato.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Los honorarios serán de siete mil quetzales exactos (Q7,000.00) mensuales, para un monto total de catorce mil quetzales exactos (Q14,000.00).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Los honorarios incluyen los impuestos aplicables y estarán sujetos a las retenciones que correspondan conforme a la normativa vigente.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Se efectuará un (1) pago mensual de siete mil quetzales exactos (Q7,000.00), contra la verificación y aprobación de los servicios prestados durante el período, la emisión de la constancia de recepción y conformidad, la presentación de la factura y el cumplimiento de los requisitos administrativos establecidos por Caja Lúdica.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8 Supervisión y coordinación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Dirección Ejecutiva designará por escrito a la persona responsable de supervisar el servicio. El/la Auxiliar de Contrataciones y GUATECOMPRAS coordinará con la Administración, el/la Contador/a General, el/la Auxiliar Contable y de Rendición Financiera y las áreas requirentes. No podrá autorizar adquisiciones, evaluar o adjudicar ofertas, suscribir contratos, aprobar recepciones, autorizar pagos ni sustituir firmas o responsabilidades asignadas a otras personas.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9 Confidencialidad propiedad y entrega de información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persona contratada deberá guardar confidencialidad sobre la información de proveedores, ofertas, contrataciones, expedientes, facturas, contratos, datos institucionales y demás documentación a la que tenga acceso. Las matrices, bases de datos, archivos, respaldos y documentos generados o administrados en el marco del servicio serán propiedad de Caja Lúdica y deberán mantenerse en los repositorios autorizados.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cstheme="majorHAnsi" w:ascii="Calibri" w:hAnsi="Calibri"/>
          <w:color w:val="000000"/>
          <w:sz w:val="22"/>
        </w:rPr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cstheme="majorHAnsi" w:ascii="Calibri" w:hAnsi="Calibri"/>
          <w:sz w:val="22"/>
        </w:rPr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 w:themeColor="text1"/>
          <w:sz w:val="22"/>
        </w:rPr>
      </w:pPr>
      <w:r>
        <w:rPr>
          <w:rFonts w:cs="Calibri" w:ascii="Calibri" w:hAnsi="Calibri" w:asciiTheme="majorHAnsi" w:cstheme="majorHAnsi" w:hAnsiTheme="majorHAnsi"/>
          <w:color w:val="000000" w:themeColor="text1"/>
          <w:sz w:val="22"/>
        </w:rPr>
        <w:t>El acceso a GUATECOMPRAS y a cualquier otra plataforma deberá ser individual y utilizarse únicamente conforme al perfil formalmente asignado. No se compartirán contraseñas. Al finalizar la contratación, la persona entregará la información bajo su responsabilidad y Caja Lúdica gestionará la revocación o reasignación de los accesos correspondientes.</w:t>
      </w:r>
    </w:p>
    <w:p>
      <w:pPr>
        <w:pStyle w:val="Heading1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10 Presentación y evaluación de postulaciones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Para participar en el proceso, las personas interesadas deberán presentar: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 xml:space="preserve">a)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Hoja de vida actualizada, con información de contacto y descripción precisa de la experiencia en contrataciones, compras, integración de expedientes y operación de GUATECOMPRAS.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 xml:space="preserve">b)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Copia del título de nivel medio requerido.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 xml:space="preserve">c)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Constancias o certificaciones de estudios universitarios, cuando corresponda.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 xml:space="preserve">d)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Constancias laborales, contratos, certificaciones o cartas de referencia que acrediten la experiencia general y específica requerida.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 xml:space="preserve">e)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Declaración firmada de aceptación de estos términos de referencia, del plazo y de los honorarios establecidos.</w:t>
      </w:r>
    </w:p>
    <w:p>
      <w:pPr>
        <w:pStyle w:val="Normal"/>
        <w:spacing w:before="0" w:after="40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cstheme="majorHAnsi" w:ascii="Calibri" w:hAnsi="Calibri"/>
          <w:sz w:val="22"/>
        </w:rPr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persona seleccionada deberá presentar, antes de la firma del contrato, los documentos siguientes:</w:t>
      </w:r>
    </w:p>
    <w:p>
      <w:pPr>
        <w:pStyle w:val="Normal"/>
        <w:spacing w:before="0" w:after="40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cstheme="majorHAnsi" w:ascii="Calibri" w:hAnsi="Calibri"/>
          <w:sz w:val="22"/>
        </w:rPr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a)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Copia legible del Documento Personal de Identificación —DPI— vigente.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b)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Constancia actualizada o ratificada del Registro Tributario Unificado —RTU—, con actividad económica compatible y habilitación para emitir Factura Electrónica en Línea —FEL—.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c)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Solvencia fiscal vigente o emitida dentro del plazo que establezca la normativa o la entidad otorgante para el proceso.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 xml:space="preserve">d)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Antecedentes penales y policiales vigentes.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 xml:space="preserve">e)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Certificación o constancia de cuenta bancaria a nombre de la persona contratada.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 xml:space="preserve">f)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Declaración jurada o administrativa, en el formato de Caja Lúdica, sobre la veracidad de la información, la inexistencia de conflicto de interés y la ausencia de prohibiciones o incompatibilidades.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 xml:space="preserve">g)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Constancia electrónica vigente de inscripción y, cuando corresponda, de precalificación en el Registro General de Adquisiciones del Estado —RGAE—, si la normativa, la modalidad del proceso o la entidad otorgante la exige.</w:t>
      </w:r>
    </w:p>
    <w:p>
      <w:pPr>
        <w:pStyle w:val="Normal"/>
        <w:spacing w:before="0" w:after="40"/>
        <w:ind w:left="360" w:hanging="360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 xml:space="preserve">h) 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>Constancia Transitoria de Inexistencia de Reclamación de Cargos de la Contraloría General de Cuentas, cuando corresponda por cargos públicos o manejo previo de bienes o recursos del Estado, o por requerimiento de la entidad otorgante.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cstheme="majorHAnsi" w:ascii="Calibri" w:hAnsi="Calibri"/>
          <w:color w:val="000000"/>
          <w:sz w:val="22"/>
        </w:rPr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documentación deberá enviarse al correo electrónico cajaludica@gmail.com, indicando en el asunto: “Postulación – Auxiliar de Contrataciones y GUATECOMPRAS”.La fecha límite para la recepción de postulaciones será el lunes 2 de noviembre de 2026, a las 17:00 horas. La documentación deberá remitirse en formato PDF, preferiblemente integrada en un solo archivo e identificada con el nombre completo de la persona postulante.</w:t>
      </w:r>
    </w:p>
    <w:p>
      <w:pPr>
        <w:pStyle w:val="Normal"/>
        <w:spacing w:lineRule="auto" w:line="247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No se tomarán en cuenta los expedientes incompletos ni las postulaciones recibidas después de la fecha y hora establecidas. Caja Lúdica se comunicará únicamente con las personas seleccionadas para continuar en el proceso.</w:t>
      </w:r>
    </w:p>
    <w:sectPr>
      <w:headerReference w:type="default" r:id="rId2"/>
      <w:type w:val="nextPage"/>
      <w:pgSz w:w="12240" w:h="15840"/>
      <w:pgMar w:left="1123" w:right="1123" w:gutter="0" w:header="288" w:top="1037" w:footer="0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margin">
            <wp:align>center</wp:align>
          </wp:positionH>
          <wp:positionV relativeFrom="paragraph">
            <wp:posOffset>-125730</wp:posOffset>
          </wp:positionV>
          <wp:extent cx="1000125" cy="1000125"/>
          <wp:effectExtent l="0" t="0" r="0" b="0"/>
          <wp:wrapNone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/>
    </w:pPr>
    <w:r>
      <w:rPr/>
    </w:r>
  </w:p>
  <w:p>
    <w:pPr>
      <w:pStyle w:val="Normal"/>
      <w:widowControl/>
      <w:bidi w:val="0"/>
      <w:spacing w:lineRule="auto" w:line="264" w:before="0" w:after="120"/>
      <w:jc w:val="left"/>
      <w:rPr/>
    </w:pPr>
    <w:r>
      <w:rPr/>
      <w:b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64" w:before="0" w:after="120"/>
      <w:jc w:val="left"/>
    </w:pPr>
    <w:rPr>
      <w:rFonts w:ascii="Aptos" w:hAnsi="Aptos" w:eastAsia="ＭＳ 明朝" w:cs=""/>
      <w:color w:val="1F1F1F"/>
      <w:kern w:val="0"/>
      <w:sz w:val="20"/>
      <w:szCs w:val="22"/>
      <w:lang w:val="es-GT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fc693f"/>
    <w:pPr>
      <w:keepNext w:val="true"/>
      <w:keepLines/>
      <w:spacing w:before="32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32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fc693f"/>
    <w:pPr>
      <w:keepNext w:val="true"/>
      <w:keepLines/>
      <w:spacing w:before="24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Cs w:val="20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Header"/>
    <w:uiPriority w:val="99"/>
    <w:qFormat/>
    <w:rsid w:val="00e618bf"/>
    <w:rPr/>
  </w:style>
  <w:style w:type="character" w:styleId="PiedepginaCar" w:customStyle="1">
    <w:name w:val="Pie de página Car"/>
    <w:basedOn w:val="DefaultParagraphFont"/>
    <w:link w:val="Footer"/>
    <w:uiPriority w:val="99"/>
    <w:qFormat/>
    <w:rsid w:val="00e618bf"/>
    <w:rPr/>
  </w:style>
  <w:style w:type="character" w:styleId="Ttulo1Car" w:customStyle="1">
    <w:name w:val="Título 1 C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tuloCar" w:customStyle="1">
    <w:name w:val="Título C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ar" w:customStyle="1">
    <w:name w:val="Subtítulo C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xtoindependienteCar" w:customStyle="1">
    <w:name w:val="Texto independiente Car"/>
    <w:basedOn w:val="DefaultParagraphFont"/>
    <w:uiPriority w:val="99"/>
    <w:qFormat/>
    <w:rsid w:val="00aa1d8d"/>
    <w:rPr/>
  </w:style>
  <w:style w:type="character" w:styleId="Textoindependiente2Car" w:customStyle="1">
    <w:name w:val="Texto independiente 2 Car"/>
    <w:basedOn w:val="DefaultParagraphFont"/>
    <w:link w:val="BodyText2"/>
    <w:uiPriority w:val="99"/>
    <w:qFormat/>
    <w:rsid w:val="00aa1d8d"/>
    <w:rPr/>
  </w:style>
  <w:style w:type="character" w:styleId="Textoindependiente3Car" w:customStyle="1">
    <w:name w:val="Texto independiente 3 C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xtomacroCar" w:customStyle="1">
    <w:name w:val="Texto macro C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Car" w:customStyle="1">
    <w:name w:val="Cita C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ar" w:customStyle="1">
    <w:name w:val="Título 5 C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tulo6Car" w:customStyle="1">
    <w:name w:val="Título 6 C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ar" w:customStyle="1">
    <w:name w:val="Título 7 C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ar" w:customStyle="1">
    <w:name w:val="Título 8 C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InternetLink">
    <w:name w:val="Hyperlink"/>
    <w:basedOn w:val="DefaultParagraphFont"/>
    <w:uiPriority w:val="99"/>
    <w:unhideWhenUsed/>
    <w:rsid w:val="00c610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610b7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link w:val="TextoindependienteC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tuloC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tulo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Textoindependiente2Car"/>
    <w:uiPriority w:val="99"/>
    <w:unhideWhenUsed/>
    <w:qFormat/>
    <w:rsid w:val="00aa1d8d"/>
    <w:pPr>
      <w:spacing w:lineRule="auto" w:line="480"/>
    </w:pPr>
    <w:rPr/>
  </w:style>
  <w:style w:type="paragraph" w:styleId="BodyText3">
    <w:name w:val="Body Text 3"/>
    <w:basedOn w:val="Normal"/>
    <w:link w:val="Textoindependiente3Car"/>
    <w:uiPriority w:val="99"/>
    <w:unhideWhenUsed/>
    <w:qFormat/>
    <w:rsid w:val="00aa1d8d"/>
    <w:pPr/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C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Web">
    <w:name w:val="Normal (Web)"/>
    <w:basedOn w:val="Normal"/>
    <w:uiPriority w:val="99"/>
    <w:semiHidden/>
    <w:unhideWhenUsed/>
    <w:qFormat/>
    <w:rsid w:val="004a5a72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s-G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LibreOffice/7.3.6.2$MacOSX_X86_64 LibreOffice_project/c28ca90fd6e1a19e189fc16c05f8f8924961e12e</Application>
  <AppVersion>15.0000</AppVersion>
  <Pages>4</Pages>
  <Words>1460</Words>
  <Characters>9257</Characters>
  <CharactersWithSpaces>10635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2026-10-27T22:35:00Z</dcterms:created>
  <dc:creator>Asociación Civil Caja Lúdica</dc:creator>
  <dc:description>generated by python-docx</dc:description>
  <cp:keywords>Contrataciones GUATECOMPRAS NPG NOG expedientes recursos públicos</cp:keywords>
  <dc:language>en-US</dc:language>
  <cp:lastModifiedBy/>
  <dcterms:modified xsi:type="dcterms:W3CDTF">2026-10-28T09:28:59Z</dcterms:modified>
  <cp:revision>4</cp:revision>
  <dc:subject>Contratación de servicios técnicos por dos meses para gestión documental de adquisiciones y operación de GUATECOMPRAS</dc:subject>
  <dc:title>Términos de Referencia Servicios técnicos de Auxiliar de Contrataciones y GUATECOMPRAS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