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media/image1.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both"/>
        <w:rPr>
          <w:rFonts w:ascii="Calibri" w:hAnsi="Calibri" w:cs="Calibri" w:asciiTheme="majorHAnsi" w:cstheme="majorHAnsi" w:hAnsiTheme="majorHAnsi"/>
        </w:rPr>
      </w:pPr>
      <w:r>
        <w:rPr>
          <w:rFonts w:cs="Calibri" w:cstheme="majorHAnsi" w:ascii="Calibri" w:hAnsi="Calibri"/>
        </w:rPr>
      </w:r>
    </w:p>
    <w:p>
      <w:pPr>
        <w:pStyle w:val="Title"/>
        <w:spacing w:before="40" w:after="40"/>
        <w:contextualSpacing/>
        <w:jc w:val="center"/>
        <w:rPr>
          <w:rFonts w:cs="Calibri" w:cstheme="majorHAnsi"/>
        </w:rPr>
      </w:pPr>
      <w:r>
        <w:rPr>
          <w:rFonts w:cs="Calibri" w:cstheme="majorHAnsi"/>
          <w:b/>
          <w:color w:val="000000"/>
          <w:sz w:val="30"/>
        </w:rPr>
        <w:t>TÉRMINOS DE REFERENCIA</w:t>
      </w:r>
    </w:p>
    <w:p>
      <w:pPr>
        <w:pStyle w:val="Normal"/>
        <w:spacing w:lineRule="auto" w:line="14" w:before="0" w:after="160"/>
        <w:jc w:val="center"/>
        <w:rPr>
          <w:rFonts w:ascii="Calibri" w:hAnsi="Calibri" w:cs="Calibri" w:asciiTheme="majorHAnsi" w:cstheme="majorHAnsi" w:hAnsiTheme="majorHAnsi"/>
        </w:rPr>
      </w:pPr>
      <w:r>
        <w:rPr>
          <w:rFonts w:cs="Calibri" w:ascii="Calibri" w:hAnsi="Calibri" w:asciiTheme="majorHAnsi" w:cstheme="majorHAnsi" w:hAnsiTheme="majorHAnsi"/>
          <w:b/>
          <w:color w:val="2D0B45"/>
          <w:sz w:val="24"/>
        </w:rPr>
        <w:t xml:space="preserve">Servicios profesionales de Contador/a  </w:t>
      </w:r>
      <w:r>
        <w:rPr>
          <w:rFonts w:cs="Calibri" w:ascii="Calibri" w:hAnsi="Calibri" w:asciiTheme="majorHAnsi" w:cstheme="majorHAnsi" w:hAnsiTheme="majorHAnsi"/>
          <w:b/>
          <w:color w:val="2D0B45"/>
          <w:sz w:val="24"/>
        </w:rPr>
        <w:t>de Ejecuci</w:t>
      </w:r>
      <w:r>
        <w:rPr>
          <w:rFonts w:cs="Calibri" w:ascii="Calibri" w:hAnsi="Calibri" w:asciiTheme="majorHAnsi" w:cstheme="majorHAnsi" w:hAnsiTheme="majorHAnsi"/>
          <w:b/>
          <w:color w:val="2D0B45"/>
          <w:sz w:val="24"/>
          <w:lang w:val="es-GT"/>
        </w:rPr>
        <w:t xml:space="preserve">ón  Financiera  y </w:t>
      </w:r>
    </w:p>
    <w:p>
      <w:pPr>
        <w:pStyle w:val="Normal"/>
        <w:spacing w:before="0" w:after="160"/>
        <w:jc w:val="center"/>
        <w:rPr>
          <w:rFonts w:ascii="Calibri" w:hAnsi="Calibri" w:cs="Calibri" w:asciiTheme="majorHAnsi" w:cstheme="majorHAnsi" w:hAnsiTheme="majorHAnsi"/>
        </w:rPr>
      </w:pPr>
      <w:r>
        <w:rPr>
          <w:rFonts w:cs="Calibri" w:ascii="Calibri" w:hAnsi="Calibri" w:asciiTheme="majorHAnsi" w:cstheme="majorHAnsi" w:hAnsiTheme="majorHAnsi"/>
          <w:b/>
          <w:color w:val="2D0B45"/>
          <w:sz w:val="24"/>
          <w:lang w:val="es-GT"/>
        </w:rPr>
        <w:t>Rendición de Cuentas de Fondos Públicos</w:t>
      </w:r>
    </w:p>
    <w:tbl>
      <w:tblPr>
        <w:tblW w:w="9994" w:type="dxa"/>
        <w:jc w:val="center"/>
        <w:tblInd w:w="0" w:type="dxa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noVBand="1" w:noHBand="0" w:lastColumn="0" w:firstColumn="1" w:lastRow="0" w:firstRow="1"/>
      </w:tblPr>
      <w:tblGrid>
        <w:gridCol w:w="2686"/>
        <w:gridCol w:w="7307"/>
      </w:tblGrid>
      <w:tr>
        <w:trPr/>
        <w:tc>
          <w:tcPr>
            <w:tcW w:w="26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b/>
                <w:color w:val="000000"/>
                <w:sz w:val="22"/>
              </w:rPr>
              <w:t>Entidad contratante</w:t>
            </w:r>
          </w:p>
        </w:tc>
        <w:tc>
          <w:tcPr>
            <w:tcW w:w="73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color w:val="000000"/>
                <w:sz w:val="22"/>
              </w:rPr>
              <w:t>Asociación Civil Caja Lúdica</w:t>
            </w:r>
          </w:p>
        </w:tc>
      </w:tr>
      <w:tr>
        <w:trPr/>
        <w:tc>
          <w:tcPr>
            <w:tcW w:w="26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b/>
                <w:color w:val="000000"/>
                <w:sz w:val="22"/>
              </w:rPr>
              <w:t>Denominación</w:t>
            </w:r>
          </w:p>
        </w:tc>
        <w:tc>
          <w:tcPr>
            <w:tcW w:w="73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color w:val="000000"/>
                <w:sz w:val="22"/>
              </w:rPr>
              <w:t xml:space="preserve">Servicios profesionales de Contador/a </w:t>
            </w:r>
            <w:r>
              <w:rPr>
                <w:rFonts w:cs="Calibri" w:ascii="Calibri" w:hAnsi="Calibri" w:asciiTheme="majorHAnsi" w:cstheme="majorHAnsi" w:hAnsiTheme="majorHAnsi"/>
                <w:color w:val="000000"/>
                <w:sz w:val="22"/>
              </w:rPr>
              <w:t>de Ejecuci</w:t>
            </w:r>
            <w:r>
              <w:rPr>
                <w:rFonts w:cs="Calibri" w:ascii="Calibri" w:hAnsi="Calibri" w:asciiTheme="majorHAnsi" w:cstheme="majorHAnsi" w:hAnsiTheme="majorHAnsi"/>
                <w:color w:val="000000"/>
                <w:sz w:val="22"/>
                <w:lang w:val="es-GT"/>
              </w:rPr>
              <w:t>ón Financiera y Rendición de Cuentas de Fondos Públicos</w:t>
            </w:r>
          </w:p>
        </w:tc>
      </w:tr>
      <w:tr>
        <w:trPr/>
        <w:tc>
          <w:tcPr>
            <w:tcW w:w="26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b/>
                <w:color w:val="000000"/>
                <w:sz w:val="22"/>
              </w:rPr>
              <w:t>Ámbito</w:t>
            </w:r>
          </w:p>
        </w:tc>
        <w:tc>
          <w:tcPr>
            <w:tcW w:w="73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color w:val="000000"/>
                <w:sz w:val="22"/>
              </w:rPr>
              <w:t>Dirección, revisión y consolidación contable, financiera, presupuestaria y de cumplimiento del convenio con el Ministerio de Cultura y Deportes</w:t>
            </w:r>
          </w:p>
        </w:tc>
      </w:tr>
      <w:tr>
        <w:trPr/>
        <w:tc>
          <w:tcPr>
            <w:tcW w:w="26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b/>
                <w:color w:val="000000"/>
                <w:sz w:val="22"/>
              </w:rPr>
              <w:t>Plazo</w:t>
            </w:r>
          </w:p>
        </w:tc>
        <w:tc>
          <w:tcPr>
            <w:tcW w:w="73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color w:val="000000"/>
                <w:sz w:val="22"/>
              </w:rPr>
              <w:t>Dos (2) meses</w:t>
            </w:r>
          </w:p>
        </w:tc>
      </w:tr>
      <w:tr>
        <w:trPr/>
        <w:tc>
          <w:tcPr>
            <w:tcW w:w="268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b/>
                <w:color w:val="000000"/>
                <w:sz w:val="22"/>
              </w:rPr>
              <w:t>Lugar de prestación</w:t>
            </w:r>
          </w:p>
        </w:tc>
        <w:tc>
          <w:tcPr>
            <w:tcW w:w="730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color w:val="000000"/>
                <w:sz w:val="22"/>
              </w:rPr>
              <w:t>Sede de Caja Lúdica, ciudad de Guatemala, con las coordinaciones y gestiones presenciales que requiera el servicio.</w:t>
            </w:r>
          </w:p>
        </w:tc>
      </w:tr>
    </w:tbl>
    <w:p>
      <w:pPr>
        <w:pStyle w:val="Heading1"/>
        <w:jc w:val="both"/>
        <w:rPr>
          <w:rFonts w:cs="Calibri" w:cstheme="majorHAnsi"/>
          <w:color w:val="1F497D" w:themeColor="text2"/>
          <w:sz w:val="24"/>
          <w:szCs w:val="24"/>
        </w:rPr>
      </w:pPr>
      <w:r>
        <w:rPr>
          <w:rFonts w:cs="Calibri" w:cstheme="majorHAnsi"/>
          <w:color w:val="1F497D" w:themeColor="text2"/>
          <w:sz w:val="24"/>
          <w:szCs w:val="24"/>
        </w:rPr>
        <w:t>1 Antecedentes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Caja Lúdica administra recursos públicos destinados a procesos culturales, artísticos, formativos y comunitarios. Su utilización está sujeta a control presupuestario, rendición de cuentas, cumplimiento tributario, procedimientos de contratación pública y fiscalización por las autoridades competentes.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El período de ejecución es concentrado y requiere una conducción contable que establezca criterios, supervise al personal auxiliar y asegure que cada operación pueda vincularse con su autorización, expediente, registro y constancia de presentación hasta el cierre y la liquidación.</w:t>
      </w:r>
    </w:p>
    <w:p>
      <w:pPr>
        <w:pStyle w:val="Heading1"/>
        <w:jc w:val="both"/>
        <w:rPr>
          <w:rFonts w:cs="Calibri" w:cstheme="majorHAnsi"/>
          <w:color w:val="1F497D" w:themeColor="text2"/>
          <w:sz w:val="24"/>
          <w:szCs w:val="24"/>
        </w:rPr>
      </w:pPr>
      <w:r>
        <w:rPr>
          <w:rFonts w:cs="Calibri" w:cstheme="majorHAnsi"/>
          <w:color w:val="1F497D" w:themeColor="text2"/>
          <w:sz w:val="24"/>
          <w:szCs w:val="24"/>
        </w:rPr>
        <w:t>2 Objeto y alcance de la contratación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Contratar servicios profesionales de Contador/a  para dirigir, revisar y consolidar la gestión contable, financiera y presupuestaria de los recursos públicos administrados por Caja Lúdica durante el plazo establecido.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El servicio comprende la definición de criterios y controles, la revisión del trabajo contable y financiero, la verificación de cumplimiento en compras y contrataciones, la supervisión de Caja Fiscal, TSS y GUATECOMPRAS, la atención de requerimientos de fiscalización y la preparación del cierre y la liquidación financiera.</w:t>
      </w:r>
    </w:p>
    <w:p>
      <w:pPr>
        <w:pStyle w:val="Heading1"/>
        <w:jc w:val="both"/>
        <w:rPr>
          <w:rFonts w:cs="Calibri" w:cstheme="majorHAnsi"/>
          <w:color w:val="1F497D" w:themeColor="text2"/>
          <w:sz w:val="24"/>
          <w:szCs w:val="24"/>
        </w:rPr>
      </w:pPr>
      <w:r>
        <w:rPr>
          <w:rFonts w:cs="Calibri" w:cstheme="majorHAnsi"/>
          <w:color w:val="1F497D" w:themeColor="text2"/>
          <w:sz w:val="24"/>
          <w:szCs w:val="24"/>
        </w:rPr>
        <w:t>3 Responsabilidad central del puesto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b/>
          <w:color w:val="000000"/>
          <w:sz w:val="22"/>
        </w:rPr>
        <w:t>Dirigir, revisar y validar la gestión contable, financiera y presupuestaria del convenio, asegurando su consistencia, respaldo documental, cumplimiento normativo y adecuada rendición ante las instancias correspondientes.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El personal auxiliar ejecutará los registros contables, controles financieros, integración de expedientes y publicaciones en los sistemas asignados. El/la Contador/a  establecerá criterios, revisará y validará el trabajo, sin sustituir las autorizaciones, adjudicaciones, firmas, recepciones o validaciones técnicas que correspondan a otras autoridades.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cstheme="majorHAnsi" w:ascii="Calibri" w:hAnsi="Calibri"/>
          <w:color w:val="000000"/>
          <w:sz w:val="22"/>
        </w:rPr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cstheme="majorHAnsi" w:ascii="Calibri" w:hAnsi="Calibri"/>
          <w:sz w:val="22"/>
        </w:rPr>
      </w:r>
    </w:p>
    <w:p>
      <w:pPr>
        <w:pStyle w:val="Heading1"/>
        <w:jc w:val="both"/>
        <w:rPr>
          <w:rFonts w:cs="Calibri" w:cstheme="majorHAnsi"/>
          <w:color w:val="1F497D" w:themeColor="text2"/>
          <w:sz w:val="24"/>
          <w:szCs w:val="24"/>
        </w:rPr>
      </w:pPr>
      <w:r>
        <w:rPr>
          <w:rFonts w:cs="Calibri" w:cstheme="majorHAnsi"/>
          <w:color w:val="1F497D" w:themeColor="text2"/>
          <w:sz w:val="24"/>
          <w:szCs w:val="24"/>
        </w:rPr>
        <w:t>4 Responsabilidades principales</w:t>
      </w:r>
    </w:p>
    <w:p>
      <w:pPr>
        <w:pStyle w:val="ListParagraph"/>
        <w:numPr>
          <w:ilvl w:val="0"/>
          <w:numId w:val="2"/>
        </w:numPr>
        <w:spacing w:lineRule="auto" w:line="244" w:before="0" w:after="40"/>
        <w:contextualSpacing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Establecer y dirigir los controles, auxiliares, correlativos, calendarios de cierre, responsables operativos y criterios de revisión aplicables a la gestión contable, financiera y presupuestaria del convenio.</w:t>
      </w:r>
    </w:p>
    <w:p>
      <w:pPr>
        <w:pStyle w:val="ListParagraph"/>
        <w:numPr>
          <w:ilvl w:val="0"/>
          <w:numId w:val="2"/>
        </w:numPr>
        <w:spacing w:lineRule="auto" w:line="244" w:before="0" w:after="40"/>
        <w:contextualSpacing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Aplicar y verificar el cumplimiento de la Ley de Contrataciones del Estado, su Reglamento, las normas de GUATECOMPRAS y el marco presupuestario, contable, tributario y de fiscalización aplicable a entidades privadas receptoras de recursos públicos, así como las condiciones del convenio y las instrucciones de la entidad otorgante.</w:t>
      </w:r>
    </w:p>
    <w:p>
      <w:pPr>
        <w:pStyle w:val="ListParagraph"/>
        <w:numPr>
          <w:ilvl w:val="0"/>
          <w:numId w:val="2"/>
        </w:numPr>
        <w:spacing w:lineRule="auto" w:line="244" w:before="0" w:after="40"/>
        <w:contextualSpacing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Revisar, antes de que continúe el trámite de cada adquisición, la disponibilidad presupuestaria, la modalidad aprobada y los requisitos financieros y documentales; dejar constancia de la revisión y comunicar los incumplimientos que deban subsanarse, sin autorizar ni adjudicar el procedimiento.</w:t>
      </w:r>
    </w:p>
    <w:p>
      <w:pPr>
        <w:pStyle w:val="ListParagraph"/>
        <w:numPr>
          <w:ilvl w:val="0"/>
          <w:numId w:val="2"/>
        </w:numPr>
        <w:spacing w:lineRule="auto" w:line="244" w:before="0" w:after="40"/>
        <w:contextualSpacing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Dirigir y validar el registro de ingresos, egresos, anticipos, reintegros, intereses, retenciones, cuentas por pagar y demás operaciones; revisar las conciliaciones bancarias, contables y presupuestarias y controlar saldos, obligaciones, desviaciones y riesgos de sobreejecución.</w:t>
      </w:r>
    </w:p>
    <w:p>
      <w:pPr>
        <w:pStyle w:val="ListParagraph"/>
        <w:numPr>
          <w:ilvl w:val="0"/>
          <w:numId w:val="2"/>
        </w:numPr>
        <w:spacing w:lineRule="auto" w:line="244" w:before="0" w:after="40"/>
        <w:contextualSpacing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Revisar y validar la Caja Fiscal, el componente financiero del TSS, las retenciones tributarias, sus anexos y constancias; verificar su presentación dentro de los plazos aplicables y su correspondencia con la contabilidad, el presupuesto y la información física validada por el área responsable.</w:t>
      </w:r>
    </w:p>
    <w:p>
      <w:pPr>
        <w:pStyle w:val="ListParagraph"/>
        <w:numPr>
          <w:ilvl w:val="0"/>
          <w:numId w:val="2"/>
        </w:numPr>
        <w:spacing w:lineRule="auto" w:line="244" w:before="0" w:after="40"/>
        <w:contextualSpacing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Supervisar el trabajo del puesto responsable de contrataciones y GUATECOMPRAS; comprobar que los NPG, NOG, facturas FEL y demás publicaciones correspondan con los expedientes, proveedores, montos, conceptos y registros contables, sin realizar las cargas ordinarias ni sustituir las decisiones de la autoridad competente.</w:t>
      </w:r>
    </w:p>
    <w:p>
      <w:pPr>
        <w:pStyle w:val="ListParagraph"/>
        <w:numPr>
          <w:ilvl w:val="0"/>
          <w:numId w:val="2"/>
        </w:numPr>
        <w:spacing w:lineRule="auto" w:line="244" w:before="0" w:after="40"/>
        <w:contextualSpacing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Preparar y consolidar la información financiera periódica y final; organizar la documentación contable para auditorías y requerimientos de fiscalización; analizar observaciones y documentar las correcciones y respuestas que correspondan dentro de su responsabilidad.</w:t>
      </w:r>
    </w:p>
    <w:p>
      <w:pPr>
        <w:pStyle w:val="ListParagraph"/>
        <w:numPr>
          <w:ilvl w:val="0"/>
          <w:numId w:val="2"/>
        </w:numPr>
        <w:spacing w:lineRule="auto" w:line="244" w:before="0" w:after="40"/>
        <w:contextualSpacing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Preparar el cierre y la liquidación financiera, incluidas las conciliaciones finales, obligaciones, saldos, remanentes, intereses, reintegros, anexos y asuntos pendientes, y entregar ordenadamente los registros, expedientes, archivos y accesos bajo su responsabilidad.</w:t>
      </w:r>
    </w:p>
    <w:p>
      <w:pPr>
        <w:pStyle w:val="Heading1"/>
        <w:jc w:val="both"/>
        <w:rPr>
          <w:rFonts w:cs="Calibri" w:cstheme="majorHAnsi"/>
          <w:color w:val="auto"/>
          <w:sz w:val="24"/>
          <w:szCs w:val="24"/>
        </w:rPr>
      </w:pPr>
      <w:r>
        <w:rPr>
          <w:rFonts w:cs="Calibri" w:cstheme="majorHAnsi"/>
          <w:color w:val="auto"/>
          <w:sz w:val="24"/>
          <w:szCs w:val="24"/>
        </w:rPr>
        <w:t>5 Acreditación de los servicios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auto"/>
          <w:sz w:val="22"/>
        </w:rPr>
      </w:pPr>
      <w:r>
        <w:rPr>
          <w:rFonts w:cs="Calibri" w:ascii="Calibri" w:hAnsi="Calibri" w:asciiTheme="majorHAnsi" w:cstheme="majorHAnsi" w:hAnsiTheme="majorHAnsi"/>
          <w:color w:val="auto"/>
          <w:sz w:val="22"/>
        </w:rPr>
        <w:t>El cumplimiento se verificará mediante la documentación contable y financiera revisada, validada o actualizada durante el período y sus respaldos. Para cada pago se requerirá:</w:t>
      </w:r>
    </w:p>
    <w:p>
      <w:pPr>
        <w:pStyle w:val="Normal"/>
        <w:spacing w:lineRule="auto" w:line="244" w:before="0" w:after="40"/>
        <w:ind w:left="360" w:hanging="288"/>
        <w:jc w:val="both"/>
        <w:rPr>
          <w:rFonts w:ascii="Calibri" w:hAnsi="Calibri" w:cs="Calibri" w:asciiTheme="majorHAnsi" w:cstheme="majorHAnsi" w:hAnsiTheme="majorHAnsi"/>
          <w:color w:val="auto"/>
          <w:sz w:val="22"/>
        </w:rPr>
      </w:pPr>
      <w:r>
        <w:rPr>
          <w:rFonts w:cs="Calibri" w:ascii="Calibri" w:hAnsi="Calibri" w:asciiTheme="majorHAnsi" w:cstheme="majorHAnsi" w:hAnsiTheme="majorHAnsi"/>
          <w:b/>
          <w:color w:val="auto"/>
          <w:sz w:val="22"/>
        </w:rPr>
        <w:t xml:space="preserve">• </w:t>
      </w:r>
      <w:r>
        <w:rPr>
          <w:rFonts w:cs="Calibri" w:ascii="Calibri" w:hAnsi="Calibri" w:asciiTheme="majorHAnsi" w:cstheme="majorHAnsi" w:hAnsiTheme="majorHAnsi"/>
          <w:color w:val="auto"/>
          <w:sz w:val="22"/>
        </w:rPr>
        <w:t>Factura correspondiente.</w:t>
      </w:r>
    </w:p>
    <w:p>
      <w:pPr>
        <w:pStyle w:val="Normal"/>
        <w:spacing w:lineRule="auto" w:line="244" w:before="0" w:after="40"/>
        <w:ind w:left="360" w:hanging="288"/>
        <w:jc w:val="both"/>
        <w:rPr>
          <w:rFonts w:ascii="Calibri" w:hAnsi="Calibri" w:cs="Calibri" w:asciiTheme="majorHAnsi" w:cstheme="majorHAnsi" w:hAnsiTheme="majorHAnsi"/>
          <w:color w:val="auto"/>
          <w:sz w:val="22"/>
        </w:rPr>
      </w:pPr>
      <w:r>
        <w:rPr>
          <w:rFonts w:cs="Calibri" w:ascii="Calibri" w:hAnsi="Calibri" w:asciiTheme="majorHAnsi" w:cstheme="majorHAnsi" w:hAnsiTheme="majorHAnsi"/>
          <w:b/>
          <w:color w:val="auto"/>
          <w:sz w:val="22"/>
        </w:rPr>
        <w:t xml:space="preserve">• </w:t>
      </w:r>
      <w:r>
        <w:rPr>
          <w:rFonts w:cs="Calibri" w:ascii="Calibri" w:hAnsi="Calibri" w:asciiTheme="majorHAnsi" w:cstheme="majorHAnsi" w:hAnsiTheme="majorHAnsi"/>
          <w:color w:val="auto"/>
          <w:sz w:val="22"/>
        </w:rPr>
        <w:t>Constancia de recepción y conformidad emitida por la supervisión.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auto"/>
          <w:sz w:val="22"/>
        </w:rPr>
      </w:pPr>
      <w:r>
        <w:rPr>
          <w:rFonts w:cs="Calibri" w:ascii="Calibri" w:hAnsi="Calibri" w:asciiTheme="majorHAnsi" w:cstheme="majorHAnsi" w:hAnsiTheme="majorHAnsi"/>
          <w:color w:val="auto"/>
          <w:sz w:val="22"/>
        </w:rPr>
        <w:t>Al finalizar el servicio, deberá entregar el estado del cierre y la liquidación financiera, los asuntos pendientes, el inventario documental y los registros, bases de datos, archivos y accesos institucionales bajo su responsabilidad.</w:t>
      </w:r>
    </w:p>
    <w:p>
      <w:pPr>
        <w:pStyle w:val="Heading1"/>
        <w:jc w:val="both"/>
        <w:rPr>
          <w:rFonts w:cs="Calibri" w:cstheme="majorHAnsi"/>
          <w:color w:val="1F497D" w:themeColor="text2"/>
          <w:sz w:val="24"/>
          <w:szCs w:val="24"/>
        </w:rPr>
      </w:pPr>
      <w:r>
        <w:rPr>
          <w:rFonts w:cs="Calibri" w:cstheme="majorHAnsi"/>
          <w:color w:val="1F497D" w:themeColor="text2"/>
          <w:sz w:val="24"/>
          <w:szCs w:val="24"/>
        </w:rPr>
        <w:t>6 Perfil requerido</w:t>
      </w:r>
    </w:p>
    <w:tbl>
      <w:tblPr>
        <w:tblW w:w="9994" w:type="dxa"/>
        <w:jc w:val="center"/>
        <w:tblInd w:w="0" w:type="dxa"/>
        <w:tblLayout w:type="fixed"/>
        <w:tblCellMar>
          <w:top w:w="85" w:type="dxa"/>
          <w:left w:w="100" w:type="dxa"/>
          <w:bottom w:w="85" w:type="dxa"/>
          <w:right w:w="100" w:type="dxa"/>
        </w:tblCellMar>
        <w:tblLook w:val="04a0" w:noVBand="1" w:noHBand="0" w:lastColumn="0" w:firstColumn="1" w:lastRow="0" w:firstRow="1"/>
      </w:tblPr>
      <w:tblGrid>
        <w:gridCol w:w="2547"/>
        <w:gridCol w:w="7446"/>
      </w:tblGrid>
      <w:tr>
        <w:trPr>
          <w:cantSplit w:val="true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b/>
                <w:color w:val="000000"/>
                <w:sz w:val="22"/>
              </w:rPr>
              <w:t>Formación académica</w:t>
            </w:r>
          </w:p>
        </w:tc>
        <w:tc>
          <w:tcPr>
            <w:tcW w:w="7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color w:val="000000"/>
                <w:sz w:val="22"/>
              </w:rPr>
              <w:t>Licenciatura en Contaduría Pública y Auditoría. Colegiado/a activo/a.</w:t>
            </w:r>
          </w:p>
        </w:tc>
      </w:tr>
      <w:tr>
        <w:trPr>
          <w:cantSplit w:val="true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b/>
                <w:color w:val="000000"/>
                <w:sz w:val="22"/>
              </w:rPr>
              <w:t>Experiencia general</w:t>
            </w:r>
          </w:p>
        </w:tc>
        <w:tc>
          <w:tcPr>
            <w:tcW w:w="7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F4F6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color w:val="000000"/>
                <w:sz w:val="22"/>
              </w:rPr>
              <w:t>Mínimo cinco años de experiencia profesional comprobable en contabilidad, administración financiera, auditoría o control presupuestario.</w:t>
            </w:r>
          </w:p>
        </w:tc>
      </w:tr>
      <w:tr>
        <w:trPr>
          <w:cantSplit w:val="true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b/>
                <w:color w:val="000000"/>
                <w:sz w:val="22"/>
              </w:rPr>
              <w:t>Experiencia específica</w:t>
            </w:r>
          </w:p>
        </w:tc>
        <w:tc>
          <w:tcPr>
            <w:tcW w:w="7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color w:val="000000"/>
                <w:sz w:val="22"/>
              </w:rPr>
              <w:t>Mínimo tres años de experiencia comprobable en control, rendición, fiscalización o liquidación de recursos públicos en entidades públicas o entidades privadas receptoras de transferencias, subsidios o subvenciones.</w:t>
            </w:r>
          </w:p>
        </w:tc>
      </w:tr>
      <w:tr>
        <w:trPr>
          <w:cantSplit w:val="true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b/>
                <w:color w:val="000000"/>
                <w:sz w:val="22"/>
              </w:rPr>
              <w:t>Experiencia complementaria</w:t>
            </w:r>
          </w:p>
        </w:tc>
        <w:tc>
          <w:tcPr>
            <w:tcW w:w="7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F4F6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color w:val="000000"/>
                <w:sz w:val="22"/>
              </w:rPr>
              <w:t>Participación comprobable en compras o contrataciones sujetas a normativa pública, coordinación de personal auxiliar y revisión de registros, conciliaciones, expedientes y respaldos contables.</w:t>
            </w:r>
          </w:p>
        </w:tc>
      </w:tr>
      <w:tr>
        <w:trPr>
          <w:cantSplit w:val="true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b/>
                <w:color w:val="000000"/>
                <w:sz w:val="22"/>
              </w:rPr>
              <w:t>Conocimientos indispensables</w:t>
            </w:r>
          </w:p>
        </w:tc>
        <w:tc>
          <w:tcPr>
            <w:tcW w:w="7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color w:val="000000"/>
                <w:sz w:val="22"/>
              </w:rPr>
              <w:t>Ley de Contrataciones del Estado y su Reglamento; normas de GUATECOMPRAS, NPG, NOG y facturas FEL; normativa presupuestaria, contable, tributaria y de fiscalización; Caja Fiscal; TSS; auditorías, hallazgos, cierre y liquidación; sistemas contables y hojas de cálculo.</w:t>
            </w:r>
          </w:p>
        </w:tc>
      </w:tr>
      <w:tr>
        <w:trPr>
          <w:cantSplit w:val="true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AF3FC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b/>
                <w:color w:val="000000"/>
                <w:sz w:val="22"/>
              </w:rPr>
              <w:t>Competencias</w:t>
            </w:r>
          </w:p>
        </w:tc>
        <w:tc>
          <w:tcPr>
            <w:tcW w:w="7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3F4F6" w:val="clear"/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Calibri" w:hAnsi="Calibri" w:cs="Calibri" w:asciiTheme="majorHAnsi" w:cstheme="majorHAnsi" w:hAnsiTheme="majorHAnsi"/>
                <w:sz w:val="22"/>
              </w:rPr>
            </w:pPr>
            <w:r>
              <w:rPr>
                <w:rFonts w:cs="Calibri" w:ascii="Calibri" w:hAnsi="Calibri" w:asciiTheme="majorHAnsi" w:cstheme="majorHAnsi" w:hAnsiTheme="majorHAnsi"/>
                <w:color w:val="000000"/>
                <w:sz w:val="22"/>
              </w:rPr>
              <w:t>Integridad, independencia de criterio, capacidad analítica, organización, atención al detalle, comunicación escrita, supervisión, manejo de plazos críticos, confidencialidad y capacidad para identificar y comunicar riesgos.</w:t>
            </w:r>
          </w:p>
        </w:tc>
      </w:tr>
    </w:tbl>
    <w:p>
      <w:pPr>
        <w:pStyle w:val="Heading1"/>
        <w:jc w:val="both"/>
        <w:rPr>
          <w:rFonts w:cs="Calibri" w:cstheme="majorHAnsi"/>
          <w:color w:val="1F497D" w:themeColor="text2"/>
          <w:sz w:val="24"/>
          <w:szCs w:val="24"/>
        </w:rPr>
      </w:pPr>
      <w:r>
        <w:rPr>
          <w:rFonts w:cs="Calibri" w:cstheme="majorHAnsi"/>
          <w:color w:val="1F497D" w:themeColor="text2"/>
          <w:sz w:val="24"/>
          <w:szCs w:val="24"/>
        </w:rPr>
        <w:t>7 Plazo honorarios modalidad y forma de pago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auto"/>
          <w:sz w:val="22"/>
        </w:rPr>
      </w:pPr>
      <w:r>
        <w:rPr>
          <w:rFonts w:cs="Calibri" w:ascii="Calibri" w:hAnsi="Calibri" w:asciiTheme="majorHAnsi" w:cstheme="majorHAnsi" w:hAnsiTheme="majorHAnsi"/>
          <w:color w:val="auto"/>
          <w:sz w:val="22"/>
        </w:rPr>
        <w:t>El servicio tendrá una duración de dos (2) meses, contados a partir de la fecha establecida en el contrato.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auto"/>
          <w:sz w:val="22"/>
        </w:rPr>
      </w:pPr>
      <w:r>
        <w:rPr>
          <w:rFonts w:cs="Calibri" w:ascii="Calibri" w:hAnsi="Calibri" w:asciiTheme="majorHAnsi" w:cstheme="majorHAnsi" w:hAnsiTheme="majorHAnsi"/>
          <w:color w:val="auto"/>
          <w:sz w:val="22"/>
        </w:rPr>
        <w:t>Los honorarios serán de diez mil quetzales exactos (Q10,000.00) mensuales, para un monto total de veinte mil quetzales exactos (Q20,000.00).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auto"/>
          <w:sz w:val="22"/>
        </w:rPr>
      </w:pPr>
      <w:r>
        <w:rPr>
          <w:rFonts w:cs="Calibri" w:ascii="Calibri" w:hAnsi="Calibri" w:asciiTheme="majorHAnsi" w:cstheme="majorHAnsi" w:hAnsiTheme="majorHAnsi"/>
          <w:color w:val="auto"/>
          <w:sz w:val="22"/>
        </w:rPr>
        <w:t>Los honorarios incluyen los impuestos aplicables y estarán sujetos a las retenciones que correspondan conforme a la normativa vigente.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auto"/>
          <w:sz w:val="22"/>
        </w:rPr>
      </w:pPr>
      <w:r>
        <w:rPr>
          <w:rFonts w:cs="Calibri" w:ascii="Calibri" w:hAnsi="Calibri" w:asciiTheme="majorHAnsi" w:cstheme="majorHAnsi" w:hAnsiTheme="majorHAnsi"/>
          <w:color w:val="auto"/>
          <w:sz w:val="22"/>
        </w:rPr>
        <w:t xml:space="preserve">Se efectuará </w:t>
      </w:r>
      <w:r>
        <w:rPr>
          <w:rFonts w:cs="Calibri" w:ascii="Calibri" w:hAnsi="Calibri" w:asciiTheme="majorHAnsi" w:cstheme="majorHAnsi" w:hAnsiTheme="majorHAnsi"/>
          <w:color w:val="auto"/>
          <w:sz w:val="22"/>
        </w:rPr>
        <w:t>un</w:t>
      </w:r>
      <w:r>
        <w:rPr>
          <w:rFonts w:cs="Calibri" w:ascii="Calibri" w:hAnsi="Calibri" w:asciiTheme="majorHAnsi" w:cstheme="majorHAnsi" w:hAnsiTheme="majorHAnsi"/>
          <w:color w:val="auto"/>
          <w:sz w:val="22"/>
        </w:rPr>
        <w:t xml:space="preserve"> (</w:t>
      </w:r>
      <w:r>
        <w:rPr>
          <w:rFonts w:cs="Calibri" w:ascii="Calibri" w:hAnsi="Calibri" w:asciiTheme="majorHAnsi" w:cstheme="majorHAnsi" w:hAnsiTheme="majorHAnsi"/>
          <w:color w:val="auto"/>
          <w:sz w:val="22"/>
        </w:rPr>
        <w:t>1</w:t>
      </w:r>
      <w:r>
        <w:rPr>
          <w:rFonts w:cs="Calibri" w:ascii="Calibri" w:hAnsi="Calibri" w:asciiTheme="majorHAnsi" w:cstheme="majorHAnsi" w:hAnsiTheme="majorHAnsi"/>
          <w:color w:val="auto"/>
          <w:sz w:val="22"/>
        </w:rPr>
        <w:t>) pago mensual de diez mil quetzales exactos (Q10,000.00), contra la verificación y aprobación de los servicios prestados durante el período, la emisión de la constancia de recepción y conformidad, la presentación de la factura y el cumplimiento de los requisitos administrativos establecidos por Caja Lúdica.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auto"/>
          <w:sz w:val="22"/>
        </w:rPr>
      </w:pPr>
      <w:r>
        <w:rPr>
          <w:rFonts w:cs="Calibri" w:ascii="Calibri" w:hAnsi="Calibri" w:asciiTheme="majorHAnsi" w:cstheme="majorHAnsi" w:hAnsiTheme="majorHAnsi"/>
          <w:color w:val="auto"/>
          <w:sz w:val="22"/>
        </w:rPr>
        <w:t>Por la naturaleza de los servicios profesionales, la contratación no estará sujeta a una jornada laboral. La persona contratada organizará su tiempo conforme a las responsabilidades y plazos establecidos y mantendrá disponibilidad para las coordinaciones, cierres, presentaciones y gestiones presenciales que sean necesarias durante el horario administrativo de Caja Lúdica.</w:t>
      </w:r>
    </w:p>
    <w:p>
      <w:pPr>
        <w:pStyle w:val="Heading1"/>
        <w:jc w:val="both"/>
        <w:rPr>
          <w:rFonts w:cs="Calibri" w:cstheme="majorHAnsi"/>
          <w:color w:val="1F497D" w:themeColor="text2"/>
          <w:sz w:val="24"/>
          <w:szCs w:val="24"/>
        </w:rPr>
      </w:pPr>
      <w:r>
        <w:rPr>
          <w:rFonts w:cs="Calibri" w:cstheme="majorHAnsi"/>
          <w:color w:val="1F497D" w:themeColor="text2"/>
          <w:sz w:val="24"/>
          <w:szCs w:val="24"/>
        </w:rPr>
        <w:t>8 Supervisión y coordinación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La Dirección Ejecutiva designará por escrito a la persona responsable de supervisar el servicio. El/la Contador/a  coordinará con la Administración, la coordinación del proyecto, el personal auxiliar y las autoridades institucionales para revisar y consolidar la información necesaria. No podrá sustituir las firmas, autorizaciones, adjudicaciones, recepciones, validaciones técnicas ni funciones de representación legal asignadas a otras autoridades.</w:t>
      </w:r>
    </w:p>
    <w:p>
      <w:pPr>
        <w:pStyle w:val="Heading1"/>
        <w:jc w:val="both"/>
        <w:rPr>
          <w:rFonts w:cs="Calibri" w:cstheme="majorHAnsi"/>
          <w:color w:val="1F497D" w:themeColor="text2"/>
          <w:sz w:val="24"/>
          <w:szCs w:val="24"/>
        </w:rPr>
      </w:pPr>
      <w:r>
        <w:rPr>
          <w:rFonts w:cs="Calibri" w:cstheme="majorHAnsi"/>
          <w:color w:val="1F497D" w:themeColor="text2"/>
          <w:sz w:val="24"/>
          <w:szCs w:val="24"/>
        </w:rPr>
        <w:t>9 Confidencialidad propiedad y entrega de información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La persona contratada deberá guardar confidencialidad sobre la información financiera, bancaria, tributaria, contractual, institucional y personal a la que tenga acceso. Los registros, bases de datos, libros, matrices, archivos, respaldos y documentos generados o administrados en el marco del servicio serán propiedad de Caja Lúdica y deberán mantenerse en los repositorios autorizados.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cstheme="majorHAnsi" w:ascii="Calibri" w:hAnsi="Calibri"/>
          <w:color w:val="000000"/>
          <w:sz w:val="22"/>
        </w:rPr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cstheme="majorHAnsi" w:ascii="Calibri" w:hAnsi="Calibri"/>
          <w:sz w:val="22"/>
        </w:rPr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Los accesos a plataformas y sistemas institucionales deberán ser individuales y utilizarse únicamente conforme al perfil formalmente asignado. No se compartirán contraseñas. Al finalizar la contratación, la persona entregará la información bajo su responsabilidad y Caja Lúdica gestionará la revocación o reasignación de los accesos correspondientes.</w:t>
      </w:r>
    </w:p>
    <w:p>
      <w:pPr>
        <w:pStyle w:val="Heading1"/>
        <w:jc w:val="both"/>
        <w:rPr>
          <w:rFonts w:cs="Calibri" w:cstheme="majorHAnsi"/>
          <w:color w:val="1F497D" w:themeColor="text2"/>
          <w:sz w:val="22"/>
          <w:szCs w:val="22"/>
        </w:rPr>
      </w:pPr>
      <w:r>
        <w:rPr>
          <w:rFonts w:cs="Calibri" w:cstheme="majorHAnsi"/>
          <w:color w:val="1F497D" w:themeColor="text2"/>
          <w:sz w:val="22"/>
          <w:szCs w:val="22"/>
        </w:rPr>
        <w:t>10 Presentación y evaluación de postulaciones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Para participar en el proceso, las personas interesadas deberán presentar: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b/>
          <w:bCs/>
          <w:color w:val="000000"/>
          <w:sz w:val="22"/>
        </w:rPr>
        <w:t>a)</w:t>
      </w:r>
      <w:r>
        <w:rPr>
          <w:rFonts w:cs="Calibri" w:ascii="Calibri" w:hAnsi="Calibri" w:asciiTheme="majorHAnsi" w:cstheme="majorHAnsi" w:hAnsiTheme="majorHAnsi"/>
          <w:color w:val="000000"/>
          <w:sz w:val="22"/>
        </w:rPr>
        <w:t xml:space="preserve"> Hoja de vida actualizada, con información de contacto y descripción precisa de la experiencia en contabilidad, administración financiera, recursos públicos, fiscalización, cierre y liquidación.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b/>
          <w:bCs/>
          <w:color w:val="000000"/>
          <w:sz w:val="22"/>
        </w:rPr>
        <w:t>b)</w:t>
      </w:r>
      <w:r>
        <w:rPr>
          <w:rFonts w:cs="Calibri" w:ascii="Calibri" w:hAnsi="Calibri" w:asciiTheme="majorHAnsi" w:cstheme="majorHAnsi" w:hAnsiTheme="majorHAnsi"/>
          <w:color w:val="000000"/>
          <w:sz w:val="22"/>
        </w:rPr>
        <w:t xml:space="preserve"> Copia del título universitario de Licenciatura en Contaduría Pública y Auditoría.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b/>
          <w:bCs/>
          <w:color w:val="000000"/>
          <w:sz w:val="22"/>
        </w:rPr>
        <w:t>c)</w:t>
      </w:r>
      <w:r>
        <w:rPr>
          <w:rFonts w:cs="Calibri" w:ascii="Calibri" w:hAnsi="Calibri" w:asciiTheme="majorHAnsi" w:cstheme="majorHAnsi" w:hAnsiTheme="majorHAnsi"/>
          <w:color w:val="000000"/>
          <w:sz w:val="22"/>
        </w:rPr>
        <w:t xml:space="preserve"> Constancia vigente de colegiado/a activo/a.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b/>
          <w:bCs/>
          <w:color w:val="000000"/>
          <w:sz w:val="22"/>
        </w:rPr>
        <w:t>d)</w:t>
      </w:r>
      <w:r>
        <w:rPr>
          <w:rFonts w:cs="Calibri" w:ascii="Calibri" w:hAnsi="Calibri" w:asciiTheme="majorHAnsi" w:cstheme="majorHAnsi" w:hAnsiTheme="majorHAnsi"/>
          <w:color w:val="000000"/>
          <w:sz w:val="22"/>
        </w:rPr>
        <w:t xml:space="preserve"> Constancias laborales, contratos, certificaciones o cartas de referencia que acrediten la experiencia general, específica y complementaria requerida.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b/>
          <w:bCs/>
          <w:color w:val="000000"/>
          <w:sz w:val="22"/>
        </w:rPr>
        <w:t>e)</w:t>
      </w:r>
      <w:r>
        <w:rPr>
          <w:rFonts w:cs="Calibri" w:ascii="Calibri" w:hAnsi="Calibri" w:asciiTheme="majorHAnsi" w:cstheme="majorHAnsi" w:hAnsiTheme="majorHAnsi"/>
          <w:color w:val="000000"/>
          <w:sz w:val="22"/>
        </w:rPr>
        <w:t xml:space="preserve"> Declaración firmada de aceptación de estos términos de referencia, del plazo y de los honorarios establecidos.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La persona seleccionada deberá presentar, antes de la firma del contrato, los documentos siguientes: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a) Copia legible del Documento Personal de Identificación —DPI— vigente.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b) Constancia actualizada o ratificada del Registro Tributario Unificado —RTU—, con actividad económica compatible y habilitación para emitir Factura Electrónica en Línea —FEL—.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c) Solvencia fiscal vigente o emitida dentro del plazo que establezca la normativa o la entidad otorgante para el proceso.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d) Antecedentes penales y policiales vigentes.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e) Declaración jurada o administrativa, en el formato de Caja Lúdica, sobre la veracidad de la información, la inexistencia de conflicto de interés y la ausencia de prohibiciones o incompatibilidades.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f) Constancia electrónica vigente de inscripción y, cuando corresponda, de precalificación en el Registro General de Adquisiciones del Estado —RGAE—, si la normativa, la modalidad del proceso o la entidad otorgante la exige.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g) Constancia Transitoria de Inexistencia de Reclamación de Cargos de la Contraloría General de Cuentas, cuando corresponda por cargos públicos o manejo previo de bienes o recursos del Estado, o por requerimiento de la entidad otorgante.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cstheme="majorHAnsi" w:ascii="Calibri" w:hAnsi="Calibri"/>
          <w:color w:val="000000"/>
          <w:sz w:val="22"/>
        </w:rPr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La documentación deberá enviarse al correo electrónico cajaludica@gmail.com, indicando en el asunto: “Postulación – Contador/a”. La fecha límite para la recepción de postulaciones será el lunes 2 de noviembre de 2026, a las 17:00 horas. La documentación deberá remitirse en formato PDF, preferiblemente integrada en un solo archivo e identificada con el nombre completo de la persona postulante.</w:t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18"/>
          <w:szCs w:val="18"/>
        </w:rPr>
      </w:pPr>
      <w:r>
        <w:rPr>
          <w:rFonts w:cs="Calibri" w:cstheme="majorHAnsi" w:ascii="Calibri" w:hAnsi="Calibri"/>
          <w:color w:val="000000"/>
          <w:sz w:val="18"/>
          <w:szCs w:val="18"/>
        </w:rPr>
      </w:r>
    </w:p>
    <w:p>
      <w:pPr>
        <w:pStyle w:val="Normal"/>
        <w:spacing w:lineRule="auto" w:line="249" w:before="0" w:after="60"/>
        <w:jc w:val="both"/>
        <w:rPr>
          <w:rFonts w:ascii="Calibri" w:hAnsi="Calibri" w:cs="Calibri" w:asciiTheme="majorHAnsi" w:cstheme="majorHAnsi" w:hAnsiTheme="majorHAnsi"/>
          <w:color w:val="000000"/>
          <w:sz w:val="22"/>
        </w:rPr>
      </w:pPr>
      <w:r>
        <w:rPr>
          <w:rFonts w:cs="Calibri" w:ascii="Calibri" w:hAnsi="Calibri" w:asciiTheme="majorHAnsi" w:cstheme="majorHAnsi" w:hAnsiTheme="majorHAnsi"/>
          <w:color w:val="000000"/>
          <w:sz w:val="22"/>
        </w:rPr>
        <w:t>No se tomarán en cuenta los expedientes incompletos ni las postulaciones recibidas después de la fecha y hora establecidas. Caja Lúdica se comunicará únicamente con las personas seleccionadas para continuar en el proceso.</w:t>
      </w:r>
    </w:p>
    <w:sectPr>
      <w:headerReference w:type="default" r:id="rId2"/>
      <w:type w:val="nextPage"/>
      <w:pgSz w:w="12240" w:h="15840"/>
      <w:pgMar w:left="1123" w:right="1123" w:gutter="0" w:header="288" w:top="1037" w:footer="0" w:bottom="8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Aptos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drawing>
        <wp:anchor behindDoc="1" distT="0" distB="0" distL="0" distR="0" simplePos="0" locked="0" layoutInCell="0" allowOverlap="1" relativeHeight="6">
          <wp:simplePos x="0" y="0"/>
          <wp:positionH relativeFrom="margin">
            <wp:posOffset>2830195</wp:posOffset>
          </wp:positionH>
          <wp:positionV relativeFrom="paragraph">
            <wp:posOffset>-125730</wp:posOffset>
          </wp:positionV>
          <wp:extent cx="914400" cy="914400"/>
          <wp:effectExtent l="0" t="0" r="0" b="0"/>
          <wp:wrapNone/>
          <wp:docPr id="1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rPr/>
    </w:pPr>
    <w:r>
      <w:rPr/>
    </w:r>
  </w:p>
  <w:p>
    <w:pPr>
      <w:pStyle w:val="Normal"/>
      <w:widowControl/>
      <w:bidi w:val="0"/>
      <w:spacing w:lineRule="auto" w:line="264" w:before="0" w:after="120"/>
      <w:jc w:val="left"/>
      <w:rPr/>
    </w:pPr>
    <w:r>
      <w:rPr/>
      <w:b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bidi w:val="0"/>
      <w:spacing w:lineRule="auto" w:line="264" w:before="0" w:after="120"/>
      <w:jc w:val="left"/>
    </w:pPr>
    <w:rPr>
      <w:rFonts w:ascii="Aptos" w:hAnsi="Aptos" w:eastAsia="ＭＳ 明朝" w:cs=""/>
      <w:color w:val="1F1F1F"/>
      <w:kern w:val="0"/>
      <w:sz w:val="20"/>
      <w:szCs w:val="22"/>
      <w:lang w:val="es-GT" w:eastAsia="en-US" w:bidi="ar-SA"/>
    </w:rPr>
  </w:style>
  <w:style w:type="paragraph" w:styleId="Heading1">
    <w:name w:val="Heading 1"/>
    <w:basedOn w:val="Normal"/>
    <w:next w:val="Normal"/>
    <w:link w:val="Ttulo1Car"/>
    <w:uiPriority w:val="9"/>
    <w:qFormat/>
    <w:rsid w:val="00fc693f"/>
    <w:pPr>
      <w:keepNext w:val="true"/>
      <w:keepLines/>
      <w:spacing w:before="320" w:after="16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1F4D78"/>
      <w:sz w:val="32"/>
      <w:szCs w:val="28"/>
    </w:rPr>
  </w:style>
  <w:style w:type="paragraph" w:styleId="Heading2">
    <w:name w:val="Heading 2"/>
    <w:basedOn w:val="Normal"/>
    <w:next w:val="Normal"/>
    <w:link w:val="Ttulo2Car"/>
    <w:uiPriority w:val="9"/>
    <w:unhideWhenUsed/>
    <w:qFormat/>
    <w:rsid w:val="00fc693f"/>
    <w:pPr>
      <w:keepNext w:val="true"/>
      <w:keepLines/>
      <w:spacing w:before="240" w:after="12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1F4D78"/>
      <w:sz w:val="26"/>
      <w:szCs w:val="26"/>
    </w:rPr>
  </w:style>
  <w:style w:type="paragraph" w:styleId="Heading3">
    <w:name w:val="Heading 3"/>
    <w:basedOn w:val="Normal"/>
    <w:next w:val="Normal"/>
    <w:link w:val="Ttulo3C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Cs w:val="20"/>
    </w:rPr>
  </w:style>
  <w:style w:type="paragraph" w:styleId="Heading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link w:val="Header"/>
    <w:uiPriority w:val="99"/>
    <w:qFormat/>
    <w:rsid w:val="00e618bf"/>
    <w:rPr/>
  </w:style>
  <w:style w:type="character" w:styleId="PiedepginaCar" w:customStyle="1">
    <w:name w:val="Pie de página Car"/>
    <w:basedOn w:val="DefaultParagraphFont"/>
    <w:link w:val="Footer"/>
    <w:uiPriority w:val="99"/>
    <w:qFormat/>
    <w:rsid w:val="00e618bf"/>
    <w:rPr/>
  </w:style>
  <w:style w:type="character" w:styleId="Ttulo1Car" w:customStyle="1">
    <w:name w:val="Título 1 C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Ttulo2Car" w:customStyle="1">
    <w:name w:val="Título 2 C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Ttulo3Car" w:customStyle="1">
    <w:name w:val="Título 3 C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tuloCar" w:customStyle="1">
    <w:name w:val="Título C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tuloCar" w:customStyle="1">
    <w:name w:val="Subtítulo C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TextoindependienteCar" w:customStyle="1">
    <w:name w:val="Texto independiente Car"/>
    <w:basedOn w:val="DefaultParagraphFont"/>
    <w:uiPriority w:val="99"/>
    <w:qFormat/>
    <w:rsid w:val="00aa1d8d"/>
    <w:rPr/>
  </w:style>
  <w:style w:type="character" w:styleId="Textoindependiente2Car" w:customStyle="1">
    <w:name w:val="Texto independiente 2 Car"/>
    <w:basedOn w:val="DefaultParagraphFont"/>
    <w:link w:val="BodyText2"/>
    <w:uiPriority w:val="99"/>
    <w:qFormat/>
    <w:rsid w:val="00aa1d8d"/>
    <w:rPr/>
  </w:style>
  <w:style w:type="character" w:styleId="Textoindependiente3Car" w:customStyle="1">
    <w:name w:val="Texto independiente 3 C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xtomacroCar" w:customStyle="1">
    <w:name w:val="Texto macro C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CitaCar" w:customStyle="1">
    <w:name w:val="Cita C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Ttulo4Car" w:customStyle="1">
    <w:name w:val="Título 4 C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Ttulo5Car" w:customStyle="1">
    <w:name w:val="Título 5 C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Ttulo6Car" w:customStyle="1">
    <w:name w:val="Título 6 C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Ttulo7Car" w:customStyle="1">
    <w:name w:val="Título 7 C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Ttulo8Car" w:customStyle="1">
    <w:name w:val="Título 8 C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tulo9Car" w:customStyle="1">
    <w:name w:val="Título 9 C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itadestacadaCar" w:customStyle="1">
    <w:name w:val="Cita destacada C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InternetLink">
    <w:name w:val="Hyperlink"/>
    <w:basedOn w:val="DefaultParagraphFont"/>
    <w:uiPriority w:val="99"/>
    <w:unhideWhenUsed/>
    <w:rsid w:val="00c610b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610b7"/>
    <w:rPr>
      <w:color w:val="605E5C"/>
      <w:shd w:fill="E1DFDD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link w:val="TextoindependienteCar"/>
    <w:uiPriority w:val="99"/>
    <w:unhideWhenUsed/>
    <w:rsid w:val="00aa1d8d"/>
    <w:pPr/>
    <w:rPr/>
  </w:style>
  <w:style w:type="paragraph" w:styleId="List">
    <w:name w:val="List"/>
    <w:basedOn w:val="Normal"/>
    <w:uiPriority w:val="99"/>
    <w:unhideWhenUsed/>
    <w:rsid w:val="00aa1d8d"/>
    <w:pPr>
      <w:spacing w:before="0" w:after="120"/>
      <w:ind w:left="360" w:hanging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tuloCar"/>
    <w:uiPriority w:val="10"/>
    <w:qFormat/>
    <w:rsid w:val="00fc693f"/>
    <w:pP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tuloC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20"/>
      <w:ind w:left="720" w:hanging="0"/>
      <w:contextualSpacing/>
    </w:pPr>
    <w:rPr/>
  </w:style>
  <w:style w:type="paragraph" w:styleId="BodyText2">
    <w:name w:val="Body Text 2"/>
    <w:basedOn w:val="Normal"/>
    <w:link w:val="Textoindependiente2Car"/>
    <w:uiPriority w:val="99"/>
    <w:unhideWhenUsed/>
    <w:qFormat/>
    <w:rsid w:val="00aa1d8d"/>
    <w:pPr>
      <w:spacing w:lineRule="auto" w:line="480"/>
    </w:pPr>
    <w:rPr/>
  </w:style>
  <w:style w:type="paragraph" w:styleId="BodyText3">
    <w:name w:val="Body Text 3"/>
    <w:basedOn w:val="Normal"/>
    <w:link w:val="Textoindependiente3Car"/>
    <w:uiPriority w:val="99"/>
    <w:unhideWhenUsed/>
    <w:qFormat/>
    <w:rsid w:val="00aa1d8d"/>
    <w:pPr/>
    <w:rPr>
      <w:sz w:val="16"/>
      <w:szCs w:val="16"/>
    </w:rPr>
  </w:style>
  <w:style w:type="paragraph" w:styleId="List2">
    <w:name w:val="List Bullet 3"/>
    <w:basedOn w:val="Normal"/>
    <w:uiPriority w:val="99"/>
    <w:unhideWhenUsed/>
    <w:rsid w:val="00326f90"/>
    <w:pPr>
      <w:spacing w:before="0" w:after="120"/>
      <w:ind w:left="720" w:hanging="360"/>
      <w:contextualSpacing/>
    </w:pPr>
    <w:rPr/>
  </w:style>
  <w:style w:type="paragraph" w:styleId="List3">
    <w:name w:val="List Bullet 4"/>
    <w:basedOn w:val="Normal"/>
    <w:uiPriority w:val="99"/>
    <w:unhideWhenUsed/>
    <w:rsid w:val="00326f90"/>
    <w:pPr>
      <w:spacing w:before="0" w:after="12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12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tabs>
        <w:tab w:val="clear" w:pos="720"/>
        <w:tab w:val="left" w:pos="360" w:leader="none"/>
      </w:tabs>
      <w:spacing w:before="0" w:after="12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tabs>
        <w:tab w:val="clear" w:pos="720"/>
        <w:tab w:val="left" w:pos="360" w:leader="none"/>
      </w:tabs>
      <w:spacing w:before="0" w:after="12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tabs>
        <w:tab w:val="clear" w:pos="720"/>
        <w:tab w:val="left" w:pos="360" w:leader="none"/>
      </w:tabs>
      <w:spacing w:before="0" w:after="12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tabs>
        <w:tab w:val="clear" w:pos="720"/>
        <w:tab w:val="left" w:pos="360" w:leader="none"/>
      </w:tabs>
      <w:spacing w:before="0" w:after="12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tabs>
        <w:tab w:val="clear" w:pos="720"/>
        <w:tab w:val="left" w:pos="360" w:leader="none"/>
      </w:tabs>
      <w:spacing w:before="0" w:after="12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TextomacroC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itaCar"/>
    <w:uiPriority w:val="29"/>
    <w:qFormat/>
    <w:rsid w:val="00fc693f"/>
    <w:pPr/>
    <w:rPr>
      <w:i/>
      <w:iCs/>
      <w:color w:val="000000" w:themeColor="text1"/>
    </w:rPr>
  </w:style>
  <w:style w:type="paragraph" w:styleId="Caption1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IndexHeading">
    <w:name w:val="Index Heading"/>
    <w:basedOn w:val="Heading"/>
    <w:pPr/>
    <w:rPr/>
  </w:style>
  <w:style w:type="paragraph" w:styleId="Contents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NormalWeb">
    <w:name w:val="Normal (Web)"/>
    <w:basedOn w:val="Normal"/>
    <w:uiPriority w:val="99"/>
    <w:semiHidden/>
    <w:unhideWhenUsed/>
    <w:qFormat/>
    <w:rsid w:val="004a5a72"/>
    <w:pPr>
      <w:spacing w:lineRule="auto" w:line="240" w:beforeAutospacing="1" w:afterAutospacing="1"/>
    </w:pPr>
    <w:rPr>
      <w:rFonts w:ascii="Times New Roman" w:hAnsi="Times New Roman" w:eastAsia="Times New Roman" w:cs="Times New Roman"/>
      <w:color w:val="auto"/>
      <w:sz w:val="24"/>
      <w:szCs w:val="24"/>
      <w:lang w:eastAsia="es-GT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LibreOffice/7.3.6.2$MacOSX_X86_64 LibreOffice_project/c28ca90fd6e1a19e189fc16c05f8f8924961e12e</Application>
  <AppVersion>15.0000</AppVersion>
  <Pages>5</Pages>
  <Words>1539</Words>
  <Characters>9899</Characters>
  <CharactersWithSpaces>11359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2026-10-27T22:26:00Z</dcterms:created>
  <dc:creator>Asociación Civil Caja Lúdica</dc:creator>
  <dc:description>generated by python-docx</dc:description>
  <cp:keywords>Contador General recursos públicos Caja Fiscal TSS GUATECOMPRAS cierre y liquidación</cp:keywords>
  <dc:language>en-US</dc:language>
  <cp:lastModifiedBy/>
  <dcterms:modified xsi:type="dcterms:W3CDTF">2026-10-28T09:04:29Z</dcterms:modified>
  <cp:revision>4</cp:revision>
  <dc:subject>Contratación de servicios profesionales por dos meses para dirección contable y financiera de recursos públicos</dc:subject>
  <dc:title>Términos de Referencia Servicios profesionales de Contador/a General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